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001-39567</w:t>
      </w:r>
    </w:p>
    <w:p>
      <w:pPr>
        <w:spacing w:after="0" w:line="3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C4 Therapeutics,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3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6200" w:type="dxa"/>
            <w:vAlign w:val="bottom"/>
          </w:tcPr>
          <w:p>
            <w:pPr>
              <w:jc w:val="center"/>
              <w:ind w:right="374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47-5617627</w:t>
            </w:r>
          </w:p>
        </w:tc>
      </w:tr>
      <w:tr>
        <w:trPr>
          <w:trHeight w:val="211"/>
        </w:trPr>
        <w:tc>
          <w:tcPr>
            <w:tcW w:w="6200" w:type="dxa"/>
            <w:vAlign w:val="bottom"/>
          </w:tcPr>
          <w:p>
            <w:pPr>
              <w:jc w:val="center"/>
              <w:ind w:right="372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00" w:type="dxa"/>
            <w:vAlign w:val="bottom"/>
          </w:tcPr>
          <w:p>
            <w:pPr>
              <w:jc w:val="center"/>
              <w:ind w:right="37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0"/>
        </w:trPr>
        <w:tc>
          <w:tcPr>
            <w:tcW w:w="6200" w:type="dxa"/>
            <w:vAlign w:val="bottom"/>
          </w:tcPr>
          <w:p>
            <w:pPr>
              <w:jc w:val="center"/>
              <w:ind w:right="3722"/>
              <w:spacing w:after="0"/>
              <w:rPr>
                <w:sz w:val="20"/>
                <w:szCs w:val="20"/>
                <w:color w:val="auto"/>
              </w:rPr>
            </w:pPr>
            <w:r>
              <w:rPr>
                <w:rFonts w:ascii="Times New Roman" w:cs="Times New Roman" w:eastAsia="Times New Roman" w:hAnsi="Times New Roman"/>
                <w:sz w:val="16"/>
                <w:szCs w:val="16"/>
                <w:b w:val="1"/>
                <w:bCs w:val="1"/>
                <w:color w:val="auto"/>
                <w:w w:val="99"/>
              </w:rPr>
              <w:t>490 Arsenal Way, Suite 120</w:t>
            </w:r>
          </w:p>
        </w:tc>
        <w:tc>
          <w:tcPr>
            <w:tcW w:w="1180" w:type="dxa"/>
            <w:vAlign w:val="bottom"/>
          </w:tcPr>
          <w:p>
            <w:pPr>
              <w:spacing w:after="0"/>
              <w:rPr>
                <w:sz w:val="18"/>
                <w:szCs w:val="18"/>
                <w:color w:val="auto"/>
              </w:rPr>
            </w:pPr>
          </w:p>
        </w:tc>
      </w:tr>
      <w:tr>
        <w:trPr>
          <w:trHeight w:val="212"/>
        </w:trPr>
        <w:tc>
          <w:tcPr>
            <w:tcW w:w="6200" w:type="dxa"/>
            <w:vAlign w:val="bottom"/>
          </w:tcPr>
          <w:p>
            <w:pPr>
              <w:jc w:val="center"/>
              <w:ind w:right="3722"/>
              <w:spacing w:after="0"/>
              <w:rPr>
                <w:sz w:val="20"/>
                <w:szCs w:val="20"/>
                <w:color w:val="auto"/>
              </w:rPr>
            </w:pPr>
            <w:r>
              <w:rPr>
                <w:rFonts w:ascii="Times New Roman" w:cs="Times New Roman" w:eastAsia="Times New Roman" w:hAnsi="Times New Roman"/>
                <w:sz w:val="16"/>
                <w:szCs w:val="16"/>
                <w:b w:val="1"/>
                <w:bCs w:val="1"/>
                <w:color w:val="auto"/>
                <w:w w:val="99"/>
              </w:rPr>
              <w:t>Watertown, MA</w:t>
            </w:r>
          </w:p>
        </w:tc>
        <w:tc>
          <w:tcPr>
            <w:tcW w:w="11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226"/>
        </w:trPr>
        <w:tc>
          <w:tcPr>
            <w:tcW w:w="6200" w:type="dxa"/>
            <w:vAlign w:val="bottom"/>
          </w:tcPr>
          <w:p>
            <w:pPr>
              <w:jc w:val="center"/>
              <w:ind w:right="374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200" w:type="dxa"/>
            <w:vAlign w:val="bottom"/>
          </w:tcPr>
          <w:p>
            <w:pPr>
              <w:jc w:val="right"/>
              <w:ind w:right="1602"/>
              <w:spacing w:after="0"/>
              <w:rPr>
                <w:sz w:val="20"/>
                <w:szCs w:val="20"/>
                <w:color w:val="auto"/>
              </w:rPr>
            </w:pPr>
            <w:r>
              <w:rPr>
                <w:rFonts w:ascii="Times New Roman" w:cs="Times New Roman" w:eastAsia="Times New Roman" w:hAnsi="Times New Roman"/>
                <w:sz w:val="16"/>
                <w:szCs w:val="16"/>
                <w:b w:val="1"/>
                <w:bCs w:val="1"/>
                <w:color w:val="auto"/>
              </w:rPr>
              <w:t>(617) 231-0700</w:t>
            </w:r>
          </w:p>
        </w:tc>
        <w:tc>
          <w:tcPr>
            <w:tcW w:w="1180" w:type="dxa"/>
            <w:vAlign w:val="bottom"/>
          </w:tcPr>
          <w:p>
            <w:pPr>
              <w:spacing w:after="0"/>
              <w:rPr>
                <w:sz w:val="24"/>
                <w:szCs w:val="24"/>
                <w:color w:val="auto"/>
              </w:rPr>
            </w:pPr>
          </w:p>
        </w:tc>
      </w:tr>
      <w:tr>
        <w:trPr>
          <w:trHeight w:val="182"/>
        </w:trPr>
        <w:tc>
          <w:tcPr>
            <w:tcW w:w="620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80" w:type="dxa"/>
            <w:vAlign w:val="bottom"/>
          </w:tcPr>
          <w:p>
            <w:pPr>
              <w:spacing w:after="0"/>
              <w:rPr>
                <w:sz w:val="15"/>
                <w:szCs w:val="15"/>
                <w:color w:val="auto"/>
              </w:rPr>
            </w:pPr>
          </w:p>
        </w:tc>
      </w:tr>
      <w:tr>
        <w:trPr>
          <w:trHeight w:val="234"/>
        </w:trPr>
        <w:tc>
          <w:tcPr>
            <w:tcW w:w="6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1180" w:type="dxa"/>
            <w:vAlign w:val="bottom"/>
          </w:tcPr>
          <w:p>
            <w:pPr>
              <w:spacing w:after="0"/>
              <w:rPr>
                <w:sz w:val="20"/>
                <w:szCs w:val="20"/>
                <w:color w:val="auto"/>
              </w:rPr>
            </w:pPr>
          </w:p>
        </w:tc>
      </w:tr>
    </w:tbl>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 w:type="dxa"/>
            <w:vAlign w:val="bottom"/>
            <w:vMerge w:val="restart"/>
          </w:tcPr>
          <w:p>
            <w:pPr>
              <w:spacing w:after="0"/>
              <w:rPr>
                <w:sz w:val="13"/>
                <w:szCs w:val="13"/>
                <w:color w:val="auto"/>
              </w:rPr>
            </w:pPr>
          </w:p>
        </w:tc>
        <w:tc>
          <w:tcPr>
            <w:tcW w:w="3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1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CCCC</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10"/>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860"/>
              <w:spacing w:after="0"/>
              <w:rPr>
                <w:sz w:val="20"/>
                <w:szCs w:val="20"/>
                <w:color w:val="auto"/>
              </w:rPr>
            </w:pPr>
            <w:r>
              <w:rPr>
                <w:rFonts w:ascii="Wingdings" w:cs="Wingdings" w:eastAsia="Wingdings" w:hAnsi="Wingdings"/>
                <w:sz w:val="16"/>
                <w:szCs w:val="16"/>
                <w:b w:val="1"/>
                <w:bCs w:val="1"/>
                <w:color w:val="auto"/>
              </w:rPr>
              <w:t>o</w:t>
            </w:r>
          </w:p>
        </w:tc>
        <w:tc>
          <w:tcPr>
            <w:tcW w:w="3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0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860"/>
              <w:spacing w:after="0"/>
              <w:rPr>
                <w:sz w:val="20"/>
                <w:szCs w:val="20"/>
                <w:color w:val="auto"/>
              </w:rPr>
            </w:pPr>
            <w:r>
              <w:rPr>
                <w:rFonts w:ascii="Wingdings" w:cs="Wingdings" w:eastAsia="Wingdings" w:hAnsi="Wingdings"/>
                <w:sz w:val="16"/>
                <w:szCs w:val="16"/>
                <w:b w:val="1"/>
                <w:bCs w:val="1"/>
                <w:color w:val="auto"/>
              </w:rPr>
              <w:t>x</w:t>
            </w:r>
          </w:p>
        </w:tc>
        <w:tc>
          <w:tcPr>
            <w:tcW w:w="3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0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6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00"/>
              <w:spacing w:after="0"/>
              <w:rPr>
                <w:sz w:val="20"/>
                <w:szCs w:val="20"/>
                <w:color w:val="auto"/>
              </w:rPr>
            </w:pPr>
            <w:r>
              <w:rPr>
                <w:rFonts w:ascii="Wingdings" w:cs="Wingdings" w:eastAsia="Wingdings" w:hAnsi="Wingdings"/>
                <w:sz w:val="16"/>
                <w:szCs w:val="16"/>
                <w:b w:val="1"/>
                <w:bCs w:val="1"/>
                <w:color w:val="auto"/>
              </w:rPr>
              <w:t>o</w:t>
            </w:r>
          </w:p>
        </w:tc>
      </w:tr>
    </w:tbl>
    <w:p>
      <w:pPr>
        <w:spacing w:after="0" w:line="11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34" w:lineRule="exact"/>
        <w:rPr>
          <w:sz w:val="24"/>
          <w:szCs w:val="24"/>
          <w:color w:val="auto"/>
        </w:rPr>
      </w:pPr>
    </w:p>
    <w:p>
      <w:pPr>
        <w:ind w:right="294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As of May 1, 2026, the registrant had 110,567,222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754380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or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spacing w:after="0" w:line="81" w:lineRule="exact"/>
        <w:rPr>
          <w:sz w:val="20"/>
          <w:szCs w:val="20"/>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safety and efficacy, and cost of our research and development programs and our current and future preclinical studies and clinical trials, including statements regarding the timing of initiation and completion of studies or trials,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continue or complete further development, manufacturing and commercialization of our product candidates;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any of our current or future product candidates;</w:t>
      </w:r>
    </w:p>
    <w:p>
      <w:pPr>
        <w:spacing w:after="0" w:line="117" w:lineRule="exact"/>
        <w:rPr>
          <w:rFonts w:ascii="Times New Roman" w:cs="Times New Roman" w:eastAsia="Times New Roman" w:hAnsi="Times New Roman"/>
          <w:sz w:val="18"/>
          <w:szCs w:val="18"/>
          <w:color w:val="auto"/>
        </w:rPr>
      </w:pPr>
    </w:p>
    <w:p>
      <w:pPr>
        <w:ind w:left="980" w:right="20" w:hanging="405"/>
        <w:spacing w:after="0" w:line="282"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we anticipate our existing cash and cash equivalents, and marketable securities will be sufficient to fund our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product candidates for treatment of additional disease indications;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for any product candidates we may develop;</w:t>
      </w:r>
    </w:p>
    <w:p>
      <w:pPr>
        <w:spacing w:after="0" w:line="11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 including the possibility for reduced pricing of any approved products if they are later subject to mandatory price negotiation with the Centers for Medicare and Medicaid Services under the Inflation Reduction Act of 2022 or other applicable laws;</w:t>
      </w:r>
    </w:p>
    <w:p>
      <w:pPr>
        <w:spacing w:after="0" w:line="6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with respect to any of our current or future product candidates, as well as innovations by current and future competitors in our industry;</w:t>
      </w:r>
    </w:p>
    <w:p>
      <w:pPr>
        <w:spacing w:after="0" w:line="50"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any product candidates we may develop, and our TORPEDO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w:t>
      </w:r>
    </w:p>
    <w:p>
      <w:pPr>
        <w:spacing w:after="0" w:line="62" w:lineRule="exact"/>
        <w:rPr>
          <w:rFonts w:ascii="Times New Roman" w:cs="Times New Roman" w:eastAsia="Times New Roman" w:hAnsi="Times New Roman"/>
          <w:sz w:val="18"/>
          <w:szCs w:val="18"/>
          <w:color w:val="auto"/>
        </w:rPr>
      </w:pPr>
    </w:p>
    <w:p>
      <w:pPr>
        <w:jc w:val="both"/>
        <w:ind w:left="980" w:hanging="405"/>
        <w:spacing w:after="0" w:line="261"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development, and manufacturing activities relating to our product candidates, including our ability to advance programs under our existing collaboration agreements with F. Hoffmann-La Roche Ltd and Hoffmann-La Roche Inc., or Roche, Betta Pharmaceuticals Co., Ltd., or Betta Pharma, and Merck KGaA, Darmstadt, Germany, or MKDG, or other new collaboration agreements;</w:t>
      </w:r>
    </w:p>
    <w:p>
      <w:pPr>
        <w:spacing w:after="0" w:line="71"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1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but not limited to our estimates of our future expenses, revenues, capital requirements, and our needs for additional financing;</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manufacturing and commercialization of our product candidates, if approved;</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geopolitical conflicts or new or increased international tariffs, including mitigation efforts and economic effects, on any of the foregoing or other aspects of our business operations, including but not limited to our preclinical studies, ongoing clinical trials and future clinical trials;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discussed in Part II, Item 1A - Risk Factors in this Form 10-Q.</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Part II, Item 1A - Risk Factors in this Form 10-Q. These risks include, among others:</w:t>
      </w:r>
    </w:p>
    <w:p>
      <w:pPr>
        <w:spacing w:after="0" w:line="54" w:lineRule="exact"/>
        <w:rPr>
          <w:sz w:val="20"/>
          <w:szCs w:val="20"/>
          <w:color w:val="auto"/>
        </w:rPr>
      </w:pPr>
    </w:p>
    <w:p>
      <w:pPr>
        <w:ind w:left="980" w:hanging="486"/>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and have incurred significant losses since our inception. We expect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TORPEDO platform is unproven, which makes it difficult to predict the time, cost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a clinical-stage company and have commenced clinical trials of several product candidates, we have never obtained regulatory approval to commercialize any of our product candidates. Our business could be harmed if we are unable to develop, obtain regulatory approval for and/or commercialize our product candidates, or if we experience significant delays in doing any of these things.</w:t>
      </w:r>
    </w:p>
    <w:p>
      <w:pPr>
        <w:spacing w:after="0" w:line="6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timely completion or outcome of our preclinical testing and clinical trials. In addition, the results of preclinical studies may not be predictive of the results of clinical trials and the results of any early-stage clinical trials we commence may not be predictive of the results of later-stage clinical trials.</w:t>
      </w:r>
    </w:p>
    <w:p>
      <w:pPr>
        <w:spacing w:after="0" w:line="6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and clinical trials may fail to demonstrate adequately the safety and efficacy of any of our product candidates, which would prevent, delay, or require additional research or analysis to proceed with development, regulatory approval, and commercialization of our current and future product candidates.</w:t>
      </w:r>
    </w:p>
    <w:p>
      <w:pPr>
        <w:spacing w:after="0" w:line="6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ongoing collaborations with Roche, Betta Pharma, and MKDG. We may also seek to enter into additional collaborations in the future with third parties for the discovery, development and/or commercialization of certain of our product candidates. However, we may never realize the full potential benefits under these existing or potential collaboration arrangements.</w:t>
      </w:r>
    </w:p>
    <w:p>
      <w:pPr>
        <w:spacing w:after="0" w:line="6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for the same indication and/or patient population before or more successfully than we do.</w:t>
      </w:r>
    </w:p>
    <w:p>
      <w:pPr>
        <w:spacing w:after="0" w:line="53"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for the manufacture of our product candidates for preclinical and clinical testing, as well as for commercial manufacture if any of our product candidates receive marketing approval. This reliance on third parties may increase the risk that we will not have sufficient quantities of our product candidates in a timely manner, or at an acceptable cost or quality.</w:t>
      </w:r>
    </w:p>
    <w:p>
      <w:pPr>
        <w:spacing w:after="0" w:line="67" w:lineRule="exact"/>
        <w:rPr>
          <w:rFonts w:ascii="Times New Roman" w:cs="Times New Roman" w:eastAsia="Times New Roman" w:hAnsi="Times New Roman"/>
          <w:sz w:val="18"/>
          <w:szCs w:val="18"/>
          <w:color w:val="auto"/>
        </w:rPr>
      </w:pPr>
    </w:p>
    <w:p>
      <w:pPr>
        <w:jc w:val="both"/>
        <w:ind w:left="980" w:hanging="405"/>
        <w:spacing w:after="0" w:line="266"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required marketing approvals for, commercialize, manufacture, obtain, and maintain patent protection for or gain market acceptance of our product candidates, or if we experience significant delays in doing so, our business will be materially harmed and our ability to generate revenue from product sales will be materially impaired.</w:t>
      </w:r>
    </w:p>
    <w:p>
      <w:pPr>
        <w:spacing w:after="0" w:line="67"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government programs and changes in government staffing or funding levels could affect various aspects of our business, and our degrader clinical candidates that require government review or approval may experience delays in obtaining requisite authorizations.</w:t>
      </w:r>
    </w:p>
    <w:p>
      <w:pPr>
        <w:spacing w:after="0" w:line="53" w:lineRule="exact"/>
        <w:rPr>
          <w:rFonts w:ascii="Times New Roman" w:cs="Times New Roman" w:eastAsia="Times New Roman" w:hAnsi="Times New Roman"/>
          <w:sz w:val="18"/>
          <w:szCs w:val="18"/>
          <w:color w:val="auto"/>
        </w:rPr>
      </w:pPr>
    </w:p>
    <w:p>
      <w:pPr>
        <w:ind w:left="980" w:hanging="405"/>
        <w:spacing w:after="0" w:line="282"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and results of operations and prospects.</w:t>
      </w:r>
    </w:p>
    <w:p>
      <w:pPr>
        <w:spacing w:after="0" w:line="53" w:lineRule="exact"/>
        <w:rPr>
          <w:rFonts w:ascii="Times New Roman" w:cs="Times New Roman" w:eastAsia="Times New Roman" w:hAnsi="Times New Roman"/>
          <w:sz w:val="18"/>
          <w:szCs w:val="18"/>
          <w:color w:val="auto"/>
        </w:rPr>
      </w:pPr>
    </w:p>
    <w:p>
      <w:pPr>
        <w:jc w:val="both"/>
        <w:ind w:left="980" w:hanging="405"/>
        <w:spacing w:after="0" w:line="261" w:lineRule="auto"/>
        <w:tabs>
          <w:tab w:leader="none" w:pos="97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and any future products or if the scope of the patent protection obtained is not sufficiently broad or enforceable, our competitors could develop and commercialize technology, product candidates, or products similar or identical to ours, and our ability to successfully commercialize our technology, product candidates, and any future products may be impaired.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“C4 Therapeutics,” “the Company,” “we,” “us,” and “our” in this Form 10-Q refer to C4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consolidated subsidiary.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2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We own or have rights to various trademarks, service marks and trade names that are used in connection with the operation of our business, including our company name, C4 Therapeutics, our logo, the name of our TORPEDO technology platform and the names of our BIDAC and MONODAC protein degrader product candidates. This Form 10-Q may also contain trademarks, service marks, and trade names of third parties, including, without limitation, our collaboration partners Roche, Biogen, MKDG, and Pfizer Inc., or Pfizer,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180" w:type="dxa"/>
            <w:vAlign w:val="bottom"/>
            <w:gridSpan w:val="9"/>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660" w:type="dxa"/>
            <w:vAlign w:val="bottom"/>
            <w:gridSpan w:val="8"/>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and Comprehensive Loss</w:t>
            </w:r>
          </w:p>
        </w:tc>
        <w:tc>
          <w:tcPr>
            <w:tcW w:w="3140" w:type="dxa"/>
            <w:vAlign w:val="bottom"/>
            <w:gridSpan w:val="2"/>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3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Stockholders' Equity</w:t>
            </w:r>
          </w:p>
        </w:tc>
        <w:tc>
          <w:tcPr>
            <w:tcW w:w="4300" w:type="dxa"/>
            <w:vAlign w:val="bottom"/>
            <w:gridSpan w:val="6"/>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4880" w:type="dxa"/>
            <w:vAlign w:val="bottom"/>
            <w:gridSpan w:val="7"/>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40" w:type="dxa"/>
            <w:vAlign w:val="bottom"/>
            <w:gridSpan w:val="4"/>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vMerge w:val="continue"/>
          </w:tcPr>
          <w:p>
            <w:pPr>
              <w:spacing w:after="0"/>
              <w:rPr>
                <w:sz w:val="24"/>
                <w:szCs w:val="24"/>
                <w:color w:val="auto"/>
              </w:rPr>
            </w:pP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60" w:type="dxa"/>
            <w:vAlign w:val="bottom"/>
            <w:gridSpan w:val="12"/>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6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260" w:type="dxa"/>
            <w:vAlign w:val="bottom"/>
            <w:gridSpan w:val="5"/>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280" w:type="dxa"/>
            <w:vAlign w:val="bottom"/>
            <w:gridSpan w:val="10"/>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0"/>
                <w:szCs w:val="20"/>
                <w:color w:val="auto"/>
              </w:rPr>
            </w:pPr>
          </w:p>
        </w:tc>
        <w:tc>
          <w:tcPr>
            <w:tcW w:w="6840" w:type="dxa"/>
            <w:vAlign w:val="bottom"/>
            <w:gridSpan w:val="11"/>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8000" w:type="dxa"/>
            <w:vAlign w:val="bottom"/>
            <w:gridSpan w:val="16"/>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500" w:type="dxa"/>
            <w:vAlign w:val="bottom"/>
            <w:gridSpan w:val="14"/>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74,603</w:t>
            </w: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173,934</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258,110</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48,563</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40,532</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328,861</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359,075</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29"/>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223"/>
        </w:trPr>
        <w:tc>
          <w:tcPr>
            <w:tcW w:w="8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33,032</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94,614</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102,488</w:t>
            </w:r>
          </w:p>
        </w:tc>
        <w:tc>
          <w:tcPr>
            <w:tcW w:w="0" w:type="dxa"/>
            <w:vAlign w:val="bottom"/>
          </w:tcPr>
          <w:p>
            <w:pPr>
              <w:spacing w:after="0"/>
              <w:rPr>
                <w:sz w:val="1"/>
                <w:szCs w:val="1"/>
                <w:color w:val="auto"/>
              </w:rPr>
            </w:pP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Preferred stock, par value of $0.0001 per share; 10,000,000 shares authorized, and no shares issued or</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80" w:type="dxa"/>
            <w:vAlign w:val="bottom"/>
            <w:shd w:val="clear" w:color="auto" w:fill="CFF0FC"/>
          </w:tcPr>
          <w:p>
            <w:pPr>
              <w:ind w:left="260"/>
              <w:spacing w:after="0" w:line="176" w:lineRule="exact"/>
              <w:rPr>
                <w:sz w:val="20"/>
                <w:szCs w:val="20"/>
                <w:color w:val="auto"/>
              </w:rPr>
            </w:pPr>
            <w:r>
              <w:rPr>
                <w:rFonts w:ascii="Times New Roman" w:cs="Times New Roman" w:eastAsia="Times New Roman" w:hAnsi="Times New Roman"/>
                <w:sz w:val="18"/>
                <w:szCs w:val="18"/>
                <w:color w:val="auto"/>
              </w:rPr>
              <w:t>Common stock, par value of $0.0001 per share; 300,000,000 shares authorized as of March 31, 2026, and</w:t>
            </w:r>
          </w:p>
        </w:tc>
        <w:tc>
          <w:tcPr>
            <w:tcW w:w="2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80" w:type="dxa"/>
            <w:vAlign w:val="bottom"/>
            <w:shd w:val="clear" w:color="auto" w:fill="CFF0FC"/>
          </w:tcPr>
          <w:p>
            <w:pPr>
              <w:ind w:left="260"/>
              <w:spacing w:after="0" w:line="184" w:lineRule="exact"/>
              <w:rPr>
                <w:sz w:val="20"/>
                <w:szCs w:val="20"/>
                <w:color w:val="auto"/>
              </w:rPr>
            </w:pPr>
            <w:r>
              <w:rPr>
                <w:rFonts w:ascii="Times New Roman" w:cs="Times New Roman" w:eastAsia="Times New Roman" w:hAnsi="Times New Roman"/>
                <w:sz w:val="18"/>
                <w:szCs w:val="18"/>
                <w:color w:val="auto"/>
              </w:rPr>
              <w:t>December 31, 2025, respectively, and 104,036,350 and 96,914,418 shares issued and outstanding as of</w:t>
            </w:r>
          </w:p>
        </w:tc>
        <w:tc>
          <w:tcPr>
            <w:tcW w:w="2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995,221</w:t>
            </w:r>
          </w:p>
        </w:tc>
        <w:tc>
          <w:tcPr>
            <w:tcW w:w="0" w:type="dxa"/>
            <w:vAlign w:val="bottom"/>
          </w:tcPr>
          <w:p>
            <w:pPr>
              <w:spacing w:after="0"/>
              <w:rPr>
                <w:sz w:val="1"/>
                <w:szCs w:val="1"/>
                <w:color w:val="auto"/>
              </w:rPr>
            </w:pPr>
          </w:p>
        </w:tc>
      </w:tr>
      <w:tr>
        <w:trPr>
          <w:trHeight w:val="230"/>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(738,693)</w:t>
            </w:r>
          </w:p>
        </w:tc>
        <w:tc>
          <w:tcPr>
            <w:tcW w:w="0" w:type="dxa"/>
            <w:vAlign w:val="bottom"/>
          </w:tcPr>
          <w:p>
            <w:pPr>
              <w:spacing w:after="0"/>
              <w:rPr>
                <w:sz w:val="1"/>
                <w:szCs w:val="1"/>
                <w:color w:val="auto"/>
              </w:rPr>
            </w:pPr>
          </w:p>
        </w:tc>
      </w:tr>
      <w:tr>
        <w:trPr>
          <w:trHeight w:val="223"/>
        </w:trPr>
        <w:tc>
          <w:tcPr>
            <w:tcW w:w="8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234,247</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256,587</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359,075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w:t>
            </w:r>
          </w:p>
        </w:tc>
      </w:tr>
      <w:tr>
        <w:trPr>
          <w:trHeight w:val="229"/>
        </w:trPr>
        <w:tc>
          <w:tcPr>
            <w:tcW w:w="8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w:t>
            </w:r>
          </w:p>
        </w:tc>
      </w:tr>
      <w:tr>
        <w:trPr>
          <w:trHeight w:val="22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36,402</w:t>
            </w:r>
          </w:p>
        </w:tc>
      </w:tr>
      <w:tr>
        <w:trPr>
          <w:trHeight w:val="223"/>
        </w:trPr>
        <w:tc>
          <w:tcPr>
            <w:tcW w:w="8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(27,785)</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(29,164)</w:t>
            </w:r>
          </w:p>
        </w:tc>
      </w:tr>
      <w:tr>
        <w:trPr>
          <w:trHeight w:val="22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81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w:t>
            </w:r>
          </w:p>
        </w:tc>
      </w:tr>
      <w:tr>
        <w:trPr>
          <w:trHeight w:val="20"/>
        </w:trPr>
        <w:tc>
          <w:tcPr>
            <w:tcW w:w="8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r>
      <w:tr>
        <w:trPr>
          <w:trHeight w:val="203"/>
        </w:trPr>
        <w:tc>
          <w:tcPr>
            <w:tcW w:w="81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126,074,555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70,833,044</w:t>
            </w:r>
          </w:p>
        </w:tc>
      </w:tr>
      <w:tr>
        <w:trPr>
          <w:trHeight w:val="20"/>
        </w:trPr>
        <w:tc>
          <w:tcPr>
            <w:tcW w:w="8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(26,332)</w:t>
            </w: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2660" w:type="dxa"/>
            <w:vAlign w:val="bottom"/>
            <w:gridSpan w:val="5"/>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040" w:type="dxa"/>
            <w:vAlign w:val="bottom"/>
          </w:tcPr>
          <w:p>
            <w:pPr>
              <w:spacing w:after="0"/>
              <w:rPr>
                <w:sz w:val="9"/>
                <w:szCs w:val="9"/>
                <w:color w:val="auto"/>
              </w:rPr>
            </w:pPr>
          </w:p>
        </w:tc>
        <w:tc>
          <w:tcPr>
            <w:tcW w:w="266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9"/>
                <w:szCs w:val="9"/>
                <w:color w:val="auto"/>
              </w:rPr>
            </w:pPr>
          </w:p>
        </w:tc>
        <w:tc>
          <w:tcPr>
            <w:tcW w:w="1240" w:type="dxa"/>
            <w:vAlign w:val="bottom"/>
            <w:gridSpan w:val="2"/>
            <w:vMerge w:val="restart"/>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96,914,418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256,587</w:t>
            </w: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6,187,000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of warrants</w:t>
            </w: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40" w:type="dxa"/>
            <w:vAlign w:val="bottom"/>
            <w:shd w:val="clear" w:color="auto" w:fill="CFF0FC"/>
          </w:tcPr>
          <w:p>
            <w:pPr>
              <w:ind w:left="26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w:t>
            </w:r>
          </w:p>
        </w:tc>
        <w:tc>
          <w:tcPr>
            <w:tcW w:w="124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271,175</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of stock options</w:t>
            </w:r>
          </w:p>
        </w:tc>
        <w:tc>
          <w:tcPr>
            <w:tcW w:w="12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Issuance of common stock upon vesting</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of restricted stock units, net of shares</w:t>
            </w:r>
          </w:p>
        </w:tc>
        <w:tc>
          <w:tcPr>
            <w:tcW w:w="12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606,925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13"/>
        </w:trPr>
        <w:tc>
          <w:tcPr>
            <w:tcW w:w="3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repurchased for tax withholding</w:t>
            </w: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40" w:type="dxa"/>
            <w:vAlign w:val="bottom"/>
            <w:shd w:val="clear" w:color="auto" w:fill="CFF0FC"/>
          </w:tcPr>
          <w:p>
            <w:pPr>
              <w:ind w:left="26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2020</w:t>
            </w:r>
          </w:p>
        </w:tc>
        <w:tc>
          <w:tcPr>
            <w:tcW w:w="124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43,361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ESPP</w:t>
            </w:r>
          </w:p>
        </w:tc>
        <w:tc>
          <w:tcPr>
            <w:tcW w:w="12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0" w:type="dxa"/>
            <w:vAlign w:val="bottom"/>
          </w:tcPr>
          <w:p>
            <w:pPr>
              <w:spacing w:after="0"/>
              <w:rPr>
                <w:sz w:val="1"/>
                <w:szCs w:val="1"/>
                <w:color w:val="auto"/>
              </w:rPr>
            </w:pPr>
          </w:p>
        </w:tc>
      </w:tr>
      <w:tr>
        <w:trPr>
          <w:trHeight w:val="165"/>
        </w:trPr>
        <w:tc>
          <w:tcPr>
            <w:tcW w:w="3040" w:type="dxa"/>
            <w:vAlign w:val="bottom"/>
            <w:shd w:val="clear" w:color="auto" w:fill="CFF0FC"/>
          </w:tcPr>
          <w:p>
            <w:pPr>
              <w:ind w:left="260"/>
              <w:spacing w:after="0" w:line="165" w:lineRule="exact"/>
              <w:rPr>
                <w:sz w:val="20"/>
                <w:szCs w:val="20"/>
                <w:color w:val="auto"/>
              </w:rPr>
            </w:pPr>
            <w:r>
              <w:rPr>
                <w:rFonts w:ascii="Times New Roman" w:cs="Times New Roman" w:eastAsia="Times New Roman" w:hAnsi="Times New Roman"/>
                <w:sz w:val="16"/>
                <w:szCs w:val="16"/>
                <w:color w:val="auto"/>
              </w:rPr>
              <w:t>Change in unrealized loss, net on</w:t>
            </w:r>
          </w:p>
        </w:tc>
        <w:tc>
          <w:tcPr>
            <w:tcW w:w="13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marketable securities</w:t>
            </w:r>
          </w:p>
        </w:tc>
        <w:tc>
          <w:tcPr>
            <w:tcW w:w="132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(25,129)</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13,471</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2"/>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2026</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104,036,350</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998,381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(763,822)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234,247</w:t>
            </w: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300" w:type="dxa"/>
            <w:vAlign w:val="bottom"/>
            <w:gridSpan w:val="3"/>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400" w:type="dxa"/>
            <w:vAlign w:val="bottom"/>
            <w:gridSpan w:val="2"/>
            <w:vMerge w:val="restart"/>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240" w:type="dxa"/>
            <w:vAlign w:val="bottom"/>
            <w:gridSpan w:val="2"/>
            <w:vMerge w:val="restart"/>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9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70,625,899</w:t>
            </w:r>
          </w:p>
        </w:tc>
        <w:tc>
          <w:tcPr>
            <w:tcW w:w="1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849,625</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FF0FC"/>
          </w:tcPr>
          <w:p>
            <w:pPr>
              <w:jc w:val="center"/>
              <w:ind w:left="942"/>
              <w:spacing w:after="0"/>
              <w:rPr>
                <w:sz w:val="20"/>
                <w:szCs w:val="20"/>
                <w:color w:val="auto"/>
              </w:rPr>
            </w:pPr>
            <w:r>
              <w:rPr>
                <w:rFonts w:ascii="Times New Roman" w:cs="Times New Roman" w:eastAsia="Times New Roman" w:hAnsi="Times New Roman"/>
                <w:sz w:val="16"/>
                <w:szCs w:val="16"/>
                <w:color w:val="auto"/>
                <w:w w:val="99"/>
              </w:rPr>
              <w:t>53</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(633,699)</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215,986</w:t>
            </w:r>
          </w:p>
        </w:tc>
        <w:tc>
          <w:tcPr>
            <w:tcW w:w="0" w:type="dxa"/>
            <w:vAlign w:val="bottom"/>
          </w:tcPr>
          <w:p>
            <w:pPr>
              <w:spacing w:after="0"/>
              <w:rPr>
                <w:sz w:val="1"/>
                <w:szCs w:val="1"/>
                <w:color w:val="auto"/>
              </w:rPr>
            </w:pPr>
          </w:p>
        </w:tc>
      </w:tr>
      <w:tr>
        <w:trPr>
          <w:trHeight w:val="162"/>
        </w:trPr>
        <w:tc>
          <w:tcPr>
            <w:tcW w:w="290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Issuance of common stock upon vesting</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of restricted stock units, net of shares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321,342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restart"/>
          </w:tcPr>
          <w:p>
            <w:pPr>
              <w:jc w:val="center"/>
              <w:ind w:left="842"/>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4"/>
                <w:szCs w:val="14"/>
                <w:color w:val="auto"/>
              </w:rPr>
            </w:pPr>
          </w:p>
        </w:tc>
        <w:tc>
          <w:tcPr>
            <w:tcW w:w="12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13"/>
        </w:trPr>
        <w:tc>
          <w:tcPr>
            <w:tcW w:w="2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repurchased for tax withholding</w:t>
            </w: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FF0FC"/>
          </w:tcPr>
          <w:p>
            <w:pPr>
              <w:ind w:left="26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2020</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35,589</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gridSpan w:val="2"/>
            <w:vMerge w:val="restart"/>
            <w:shd w:val="clear" w:color="auto" w:fill="CFF0FC"/>
          </w:tcPr>
          <w:p>
            <w:pPr>
              <w:jc w:val="center"/>
              <w:ind w:left="842"/>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ESPP</w:t>
            </w:r>
          </w:p>
        </w:tc>
        <w:tc>
          <w:tcPr>
            <w:tcW w:w="12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left="842"/>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0" w:type="dxa"/>
            <w:vAlign w:val="bottom"/>
          </w:tcPr>
          <w:p>
            <w:pPr>
              <w:spacing w:after="0"/>
              <w:rPr>
                <w:sz w:val="1"/>
                <w:szCs w:val="1"/>
                <w:color w:val="auto"/>
              </w:rPr>
            </w:pPr>
          </w:p>
        </w:tc>
      </w:tr>
      <w:tr>
        <w:trPr>
          <w:trHeight w:val="165"/>
        </w:trPr>
        <w:tc>
          <w:tcPr>
            <w:tcW w:w="2900" w:type="dxa"/>
            <w:vAlign w:val="bottom"/>
            <w:shd w:val="clear" w:color="auto" w:fill="CFF0FC"/>
          </w:tcPr>
          <w:p>
            <w:pPr>
              <w:ind w:left="260"/>
              <w:spacing w:after="0" w:line="165" w:lineRule="exact"/>
              <w:rPr>
                <w:sz w:val="20"/>
                <w:szCs w:val="20"/>
                <w:color w:val="auto"/>
              </w:rPr>
            </w:pPr>
            <w:r>
              <w:rPr>
                <w:rFonts w:ascii="Times New Roman" w:cs="Times New Roman" w:eastAsia="Times New Roman" w:hAnsi="Times New Roman"/>
                <w:sz w:val="16"/>
                <w:szCs w:val="16"/>
                <w:color w:val="auto"/>
              </w:rPr>
              <w:t>Change in unrealized loss, net on</w:t>
            </w:r>
          </w:p>
        </w:tc>
        <w:tc>
          <w:tcPr>
            <w:tcW w:w="1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spacing w:after="0"/>
              <w:rPr>
                <w:sz w:val="14"/>
                <w:szCs w:val="14"/>
                <w:color w:val="auto"/>
              </w:rPr>
            </w:pPr>
          </w:p>
        </w:tc>
        <w:tc>
          <w:tcPr>
            <w:tcW w:w="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1300" w:type="dxa"/>
            <w:vAlign w:val="bottom"/>
            <w:vMerge w:val="restart"/>
            <w:shd w:val="clear" w:color="auto" w:fill="CFF0FC"/>
          </w:tcPr>
          <w:p>
            <w:pPr>
              <w:jc w:val="center"/>
              <w:ind w:left="90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marketable securities</w:t>
            </w:r>
          </w:p>
        </w:tc>
        <w:tc>
          <w:tcPr>
            <w:tcW w:w="1360" w:type="dxa"/>
            <w:vAlign w:val="bottom"/>
            <w:gridSpan w:val="2"/>
            <w:vMerge w:val="continue"/>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0" w:type="dxa"/>
            <w:vAlign w:val="bottom"/>
            <w:gridSpan w:val="2"/>
          </w:tcPr>
          <w:p>
            <w:pPr>
              <w:jc w:val="center"/>
              <w:ind w:left="842"/>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(26,322)</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left="842"/>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70,989,661</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center"/>
              <w:ind w:left="942"/>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195,140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used in operating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(26,322)</w:t>
            </w:r>
          </w:p>
        </w:tc>
      </w:tr>
      <w:tr>
        <w:trPr>
          <w:trHeight w:val="219"/>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Adjustments to reconcile net loss to cash used in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5,507</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Reduction in carrying amount of right-of-use asset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and long-term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r>
      <w:tr>
        <w:trPr>
          <w:trHeight w:val="213"/>
        </w:trPr>
        <w:tc>
          <w:tcPr>
            <w:tcW w:w="83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07"/>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(33,285)</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investing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54,765</w:t>
            </w:r>
          </w:p>
        </w:tc>
      </w:tr>
      <w:tr>
        <w:trPr>
          <w:trHeight w:val="219"/>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(25,640)</w:t>
            </w:r>
          </w:p>
        </w:tc>
      </w:tr>
      <w:tr>
        <w:trPr>
          <w:trHeight w:val="213"/>
        </w:trPr>
        <w:tc>
          <w:tcPr>
            <w:tcW w:w="8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29,125</w:t>
            </w:r>
          </w:p>
        </w:tc>
      </w:tr>
      <w:tr>
        <w:trPr>
          <w:trHeight w:val="207"/>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Payments for repurchase of common stock for tax withholding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83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2"/>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58,942</w:t>
            </w:r>
          </w:p>
        </w:tc>
      </w:tr>
      <w:tr>
        <w:trPr>
          <w:trHeight w:val="23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54,736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54,736</w:t>
            </w:r>
          </w:p>
        </w:tc>
      </w:tr>
      <w:tr>
        <w:trPr>
          <w:trHeight w:val="216"/>
        </w:trPr>
        <w:tc>
          <w:tcPr>
            <w:tcW w:w="8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Less: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r>
      <w:tr>
        <w:trPr>
          <w:trHeight w:val="212"/>
        </w:trPr>
        <w:tc>
          <w:tcPr>
            <w:tcW w:w="8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51,293</w:t>
            </w: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2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paid for leases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2,249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activities: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4"/>
        </w:trPr>
        <w:tc>
          <w:tcPr>
            <w:tcW w:w="8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 in accounts payable and accrued expenses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 and 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C4 Therapeutics, Inc., or, together with its subsidiary, the Company, is a clinical-stage biopharmaceutical company dedicated to delivering on the promise of targeted protein degradation, or TPD, science to create a new generation of small-molecule medicines that transform patients’ lives. Leveraging our proprietary TORPEDO platform, the Company efficiently designs and optimizes small molecule protein degraders that are highly active against their desired targets by harnessing the body’s natural process for destroying unwanted proteins. Our strategy is to develop degraders that modulate clinically validated disease pathways with best-in-class or first-in-class potential to address significant unmet patient needs. To date, our degraders have demonstrated oral bioavailability and catalytic activity, and we have also leveraged our capability to design compounds that are brain penetrant.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clinical pipeline is comprised of two oncology programs while our discovery efforts are focused on inflammation, neuroinflammation, and neurodegeneration. Additionally, our partnership strategy allows us to further expand our reach in both oncology and non-oncology indications.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incorporated in Delaware on October 7, 2015 and has its principal office in Watertown, Massachusetts.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its inception, the Company’s primary activities have been focused on research and development activities, building the Company’s intellectual property, recruiting and retaining personnel, and raising capital to support these activities. To date, the Company has funded its operations primarily with proceeds received from the sales of redeemable convertible preferred stock, public offerings of the Company’s common stock, private placement of the Company's common stock, through its collaboration agreements, and debt financing.</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$25.1 million and $26.3 million for the three months ended March 31, 2026 and 2025, respectively. In addition, as of March 31, 2026, the Company had an accumulated deficit of $763.8 million. To date, the Company has not generated any revenue from product sales as none of its product candidates have been approved for commercialization. The Company expects to continue to generate operating losses for the foreseeable future.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of $268.3 million as of March 31, 2026 will be sufficient to fund its operations for at least the next twelve months from the date of issuance of these condensed consolidated financial statements. Accordingly, the condensed consolidated financial statements have been prepared on a basis that assumes the Company will continue as a going concern and contemplates the realization of assets and satisfaction of liabilities and commitments in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risks common to other life science companies in the early development stage including, but not limited to, uncertainty of ability to raise additional financing, product development and commercialization, development by its competitors of new technological innovations, dependence on key personnel, market acceptance of products, lack of marketing and sales history, product liability, protection of proprietary technology and intellectual property, and compliance with regulations of the Food and Drug Administration, or the FDA, and other government agencies. If the Company does not successfully advance its programs into and through human clinical trials and commercialize any of its product candidates either directly or through collaborations with other companies, the Company may be unable to produce product revenue or achieve profitability. There can be no assurance that the Company’s research and development efforts will be successful, adequate protection for the Company’s intellectual property will be obtained, any products developed will obtain necessary government regulatory approval, or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generally accepted accounting principles in the United States of America, or U.S. GAAP, and applicable rules and regulations of the Securities and Exchange Commission, or the SEC, regarding interim financial reporting, and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instructions to Form 10-Q and Article 10 of Regulation S-X. Accordingly, they do not include all of the information and footnotes required by U.S. GAAP for complete financial statements. These condensed consolidated financial statements include the accounts of C4 Therapeutics, Inc. and its subsidiary, C4T Securities Corporation. All intercompany balances and transactions have been eliminated in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2026, the condensed consolidated statements of operations and comprehensive loss for the three months ended March 31, 2026 and 2025, the condensed consolidated statements of stockholders’ equity for the three months ended March 31, 2026 and 2025, and the condensed consolidated statements of cash flows for the three months ended March 31, 2026 and 2025,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as of and for the year ended December 31, 2025, and notes thereto, which are included in the Company’s 2025 Annual Report on Form 10-K that was filed with the SEC on February 26, 2026, or the 2025 Annual Report.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condensed consolidated financial statements if these results differ from historical experience or other assumptions do not turn out to be substantially accurate, even if such assumptions are reasonable when made. Significant estimates and assumptions reflected in these condensed consolidated financial statements include, but are not limited to, amounts and timing of revenues recognized under the Company’s research and development collaboration arrangements, prepaid and accrued research and development expense, incremental borrowing rate used in the measurement of lease liabilities, and estimated volatility used in fair valuation of stock options. The Company assesses estimates on an ongoing basis; however, actual results could materially differ from those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2025, which are included in the Company’s 2025 Annual Report. Since the date of those condensed consolidated financial statements, there have been no material changes to the Company’s significant accounting policies.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or ASU 2024-03. ASU 2024-03 requires enhanced disclosures of disaggregated income statement expenses. Disclosure within the notes of the financial statements for each annual and interim period should include: employee compensation, depreciation, and intangible asset amortization, included in each relevant expense caption; certain amounts that are already required to be disclosed under current GAAP in the same disclosure as the other disaggregation requirement; a qualitative description of the amounts remaining in relevant expense captions that are not separately disaggregated quantitatively; and the total amount of selling expenses and, in annual reporting periods, an entity’s definition of selling expenses. ASU 2024-03 is effective for fiscal years beginning after December 15, 2026, and interim periods within fiscal years beginning December 15, 2027. Early adoption is permitted. The Company is currently evaluating the effect that adoption of ASU 2024-03 will have on its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March 31, 2026 (in thousands):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222,279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transfers between fair value levels during the three months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by level within the fair value hierarchy at December 31,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Level 1 assets within the fair value hierarchy.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Marketable securities consist of U.S. Treasury securities, U.S. government debt securities, and corporate debt securities, all of which are classified as available-for-sale pursuant to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 Marketable securities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 on a recurring basis.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March 31, 2026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2"/>
                <w:szCs w:val="2"/>
                <w:color w:val="auto"/>
              </w:rPr>
            </w:pPr>
          </w:p>
        </w:tc>
        <w:tc>
          <w:tcPr>
            <w:tcW w:w="114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line="20" w:lineRule="exact"/>
              <w:rPr>
                <w:sz w:val="1"/>
                <w:szCs w:val="1"/>
                <w:color w:val="auto"/>
              </w:rPr>
            </w:pPr>
          </w:p>
        </w:tc>
      </w:tr>
      <w:tr>
        <w:trPr>
          <w:trHeight w:val="146"/>
        </w:trPr>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5"/>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135,348</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25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18,979</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31,628</w:t>
            </w:r>
          </w:p>
        </w:tc>
        <w:tc>
          <w:tcPr>
            <w:tcW w:w="0" w:type="dxa"/>
            <w:vAlign w:val="bottom"/>
          </w:tcPr>
          <w:p>
            <w:pPr>
              <w:spacing w:after="0"/>
              <w:rPr>
                <w:sz w:val="1"/>
                <w:szCs w:val="1"/>
                <w:color w:val="auto"/>
              </w:rPr>
            </w:pPr>
          </w:p>
        </w:tc>
      </w:tr>
      <w:tr>
        <w:trPr>
          <w:trHeight w:val="263"/>
        </w:trPr>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4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 current and non-current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207,319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206,997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 as of December 31, 2025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5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3"/>
                <w:szCs w:val="3"/>
                <w:color w:val="auto"/>
              </w:rPr>
            </w:pPr>
          </w:p>
        </w:tc>
        <w:tc>
          <w:tcPr>
            <w:tcW w:w="114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131,038</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131,051</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45,563</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debt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 current and non-current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222,497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classified as current have maturities of less than one year and are classified as available-for-sale. Marketable securities classified as non-current are those that: (i) have a maturity of greater than one year, and (ii) are not intended to be liquidated within the next twelve months, although these funds are available for use and, therefore, are classified as available-for-sale. No available-for-sale debt securities held as of March 31, 2026 or December 31, 2025 had remaining maturities greater than five years.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factors such as historical experience, market data, issuer-specific factors, and current economic conditions, the Company did not record an allowance for credit losses at March 31, 2026 and December 31, 2025, related to these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Office equipment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is as follows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and laboratory space under a non-cancelable operating lease. In addition, the Company subleases a portion of its office and laboratory space. In September 2025, the Company entered into a sublease agreement with a third party, or the 2025 Sublease, for a portion of the office and laboratory space in Suite 200 at 490 Arsenal Way, Watertown, Massachusetts. The term of the 2025 Sublease ends in January 2029, with an option to extend for an additional two year term. The Company began recognizing sublease income upon the commencement of the 2025 Sublease in February 2026.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terms of the Company’s lease during the three months ended March 31, 2026. For additional information, please read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audited consolidated financial statements included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Collaboration and license agreement</w:t>
      </w:r>
      <w:r>
        <w:rPr>
          <w:rFonts w:ascii="Times New Roman" w:cs="Times New Roman" w:eastAsia="Times New Roman" w:hAnsi="Times New Roman"/>
          <w:sz w:val="18"/>
          <w:szCs w:val="18"/>
          <w:b w:val="1"/>
          <w:bCs w:val="1"/>
          <w:i w:val="1"/>
          <w:iCs w:val="1"/>
          <w:color w:val="auto"/>
        </w:rPr>
        <w: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Collaboration and Supply Agreement</w:t>
      </w:r>
    </w:p>
    <w:p>
      <w:pPr>
        <w:spacing w:after="0" w:line="12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September 30, 2025, the Company entered into a Clinical Trial Collaboration and Supply Agreement with Pfizer, or the Pfizer Agreement. Pursuant to the Pfizer Agreement, Pfizer will supply the Company with elranatamab (ELREXFIO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B-cell maturation antigen CD3 targeted bispecific antibody, for the Company's ongoing Phase 1b trial evaluating the safety and tolerability of cemsidomide, an IKZF1/3 degrader, and dexamethasone in combination with elranatamab as a second-line or later therapy for patients with multiple myeloma. Under the terms of the Pfizer Agreement, Pfizer will supply elranatamab for use in the trial at no cost to the Company, while the Company will sponsor, conduct and pay the costs of the trial. The Pfizer Agreement provides that the Company and Pfizer will jointly own clinical data generated from the trial. The collaboration is managed by a joint development committee responsible for coordinating all regulatory and other activities under the Pfizer Agreement. Under the terms of the Pfizer Agreement, each party has various termination rights under certain circumstances, including material breach, insolvency, and other customary provisions, subject to certain conditions.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MKDG Collaboration and License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the Company entered into a license and collaboration agreement with MKDG, or the MKDG Agreement, to discover two targeted protein degraders against critical oncogenic proteins.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MKDG Agreement, the Company granted MKDG a worldwide, exclusive license under certain of the Company's intellectual property rights to develop, manufacture, and commercialize two targeted protein degraders against critical oncogenic proteins within the KRAS family. MKDG is responsible for all development, regulatory approval, manufacturing and commercialization costs. Under the terms of the MKDG Agreement, MKDG agreed to make an upfront cash payment of $16.0 million and to fund the Company's discovery research efforts. The Company is eligible to receive approximately $740 million in the aggregate in discovery, regulatory, and commercial milestone payments across the collaboration, plus tiered royalties on net sales. Royalties payable from MKDG to the Company range from mid-single digit to low-double digit percentages, subject to reductions under certain circumstances as described in the MKDG Agreement. In April 2025, the Company earned a $1.0 million milestone for the achievement of a discovery milestone for one of the active collaboration targets, which resulted in the addition of $1.0 million to the transaction price for the collaboration. As the research activities with MKDG have progressed and evolved over time, there is only one target on which the parties continue to collaborate 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collaboration is managed by a joint research committee, or MKDG JRC, and a joint steering committee, or MKDG JSC, each of which is comprised of representatives of MKDG and the Company. Under the MKDG Agreement, MKDG has final decision-making authority over the MKDG JSC, which has the authority to decide matters that cannot be resolved by the MKDG JRC. MKDG may terminate the MKDG Agreement on a project-by-project basis or in its entirety upon 60 days’ prior written notice. Each party also has various termination rights under certain circumstances, including but not limited to patent challenges, insolvency, or a material breach by the other party, subject to certain conditions.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MKDG Agreement Accounting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originally identified two performance obligations at the outset of the MKDG Agreement, represented by the two potential research and development targets. While the Company is obligated under the MKDG Agreement to provide the exclusive license and perform certain research activities, the Company determined that the license, the research activities, and participation on the MKDG JRC and MKDG JSC are considered promised services. Participation on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MKDG JRC and MKDG JSC to oversee the research activities contemplated under the MKDG Agreement were determined to be quantitatively and qualitatively immaterial and, therefore, were excluded from the performance obligations. The total transaction price of the MKDG Agreement is allocated to the performance obligations based on their relative standalone selling price. The Company recognizes the transaction price allocated to the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Incremental fees for research and development services are paid at agreed upon FTE rates and recognized as revenue in the period incurred.</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total transaction price of $17.0 million is allocated to the one remaining performance obligation and $3.0 million remains unsatisfied.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Betta Pharma License and Collaboration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29, 2023, the Company entered into a license and collaboration agreement, or the Betta Pharma License Agreement, with Betta Pharma to collaborate on the development, manufacturing, and commercialization of CFT8919 in Greater China, comprised of mainland China, Hong Kong SAR, Macau SAR and Taiwan, with the Company retaining rights to CFT8919 in the rest of the world other than Greater China, or the C4T Territory.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Betta Pharma License Agreement, the Company grants Betta Pharma an exclusive license under certain of the Company's intellectual property rights to develop, manufacture and commercialize CFT8919 for all uses in humans in Greater China. Betta Pharma is responsible for all development, regulatory approval, manufacturing and commercialization costs in Greater China except where Betta Pharma acts as the Company's agent in Greater China in connection with a global trial sponsored by the Company. As part of the collaboration, Betta Pharma made an upfront cash payment of $10.0 million to the Company and has agreed to make up to $357.0 million in aggregate milestone payments, plus tiered royalties on net sales of CFT8919 in Greater China. These payments are subject to a withholding tax by the State Taxing Authority of the People's Republic of China. Royalties payable from Betta Pharma to the Company range from low to mid double-digit percent, subject to certain reductions under certain circumstances as described in the Betta Pharma License Agreement. In addition, as part of the collaboration, the Company has agreed to make milestone payments to Betta Pharma of up to $40.0 million following the Company's receipt of approval of a New Drug Application for CFT8919 from the FDA, with the milestone amount based on the percentage of patients in contemplated clinical trials that were enrolled by Betta Pharma and the line of therapy of the approval. In addition, the Company has agreed to pay Betta Pharma tiered royalties on net sales of CFT8919 in the C4T Territory in the low single digit percent range, subject to reductions under certain circumstances as described in the Betta Pharma License Agreement.</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Betta Pharma License Agreement, the Company, Betta Pharma, and an affiliate of Betta Pharma, (Betta Investment (Hong Kong) Limited, or Betta Investment), entered into a stock purchase agreement dated May 29, 2023, or the Betta Stock Purchase Agreement, and together with the Betta Pharma License Agreement, the Betta Agreements, pursuant to which Betta Investment agreed to purchase 5,567,928 shares of the Company's common stock, or the Betta Shares, for an aggregate purchase price of approximately $25.0 million, or $4.49 per share, which represented a 25% premium over the 60-trading-day volume weighted average closing price as of two trading days prior to the effective date of the Betta Stock Purchase Agreement. The Betta Stock Purchase Agreement has certain restrictions customary to agreements of this nature. The closing under the Betta Stock Purchase Agreement occurred on January 4, 2024. The $25.0 million of proceeds that the Company received were recorded as $20.0 million for the issuance of shares, with the remaining $5.0 million of premium paid on the share price recorded as consideration for revenue under the Betta Pharma License and Collaboration Agreement. The Betta Stock Purchase Agreement has certain restrictions customary to agreements of this nature.</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collaboration is managed by a joint steering committee, which is composed of representatives from both Betta Pharma and the Company. Following the completion of the dose escalation phase of the Phase 1 trial of CFT8919, Betta Pharma may terminate the Betta Pharma License Agreement for convenience upon at least 90 days’ prior written notice. Each party also has various termination rights under certain circumstances, including but not limited to regulatory safety stoppages, patent challenges, insolvency, or a material breach by the other party, subject to certain conditions.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Betta Agreements accounting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revenue under the Betta Agreements from one type of arrangement, the licensing agreement. The Betta Agreements will consist of the following activities: (1) license of intellectual property, (2) clinical supply agreement, (3) manufacturing technology transfer, and (4) commercial manufacturing supply agreement.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supply agreement, or the Betta Pharma Supply Agreement, was signed on August 31, 2024. The Company recognizes the transaction price allocated to the performance obligation as the costs related to manufactured clinical supply are incurred, using an input method, in proportion to costs incurred to date as compared to total costs incurred and expected to be incurred in the future to satisfy the underlying obligation. The clinical manufacturing costs are paid at agreed upon rates and included in the estimated transaction price. The estimated transaction price as of March 31, 2026 is $125.0 million, consisting of the $10.0 million upfront cash consideration, $5.0 million from the closing of the Betta Stock Purchase Agreement, a $2.0 million milestone achieved in December 2023 under the Betta Pharma License Agreement, and the estimated consideration expected to be received from the manufactured clinical supply of $108.0 million. This estimate includes a number of assumptions, including but not limited to the duration and total volume of clinical supply to be provided by the Company pursuant to the Betta Pharma Supply Agreement. In the event there are fluctuations in the Company's assumptions, the estimates of consideration expected to be received pursuant to the Betta Pharma Supply Agreement will also change. Due to scientific and technical uncertainties of the clinical trials, the Company cannot be certain that this amount will be recognized as revenue in future periods.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Collaboration and License Agreement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2016, the Company entered into a license agreement with F. Hoffmann-La Roche Ltd and Hoffmann-La Roche Inc., or Roche, which was amended in June 2016 and again in March 2017. The Company and Roche amended and restated that agreement (as so amended) in December 2018. This amended and restated agreement is referred to as the 2018 Roche Agreement. Under the 2018 Roche Agreement, the Company and Roche agreed to collaborate in the research, development, manufacture and commercialization of target-binding degrader medicines using the Company’s proprietary TORPEDO platform for the treatment of cancers and other indications. Under the 2018 Roche Agreement, the Company may elect to opt into certain co-development rights, in which case the Company will receive an increased royalty rate on future product sales from products directed to that target. In addition, if the Company opts into certain co-detailing rights, it is also entitled to reimbursement of certain commercialization costs. Upon entry into the 2018 Roche Agreement, the Company received additional upfront consideration of $40.0 million.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2020, the Company signed a further amendment, the effect of which was to provide that the parties would develop up to five potential targets, with Roche maintaining its option rights to license and commercialize products directed to those targets. The November 2020 amendment also provides a mechanism through which the Company and Roche can mutually agree to terminate the 2018 Roche Agreement on a target-by-target basis by the entry into a Mutual Target Termination Agreement. Upon the entry into a Mutual Target Termination Agreement, the 2018 Roche Agreement provides that all rights and responsibilities for know-how and other intellectual property in support of products that use inhibition as their mode of action revert to Roche and all rights and responsibilities for know-how and other intellectual property in support of products that use degradation as their mode of action revert to the Company. In support of this allocation of rights, Roche provides the Company, and the Company provides Roche, with a perpetual irrevocable, fully paid up, exclusive (even as to the party granting the license), sublicensable (including in multiple tiers) license to the patents and know-how that are allocated to a party under a Mutual Target Termination Agreement. As the research activities with Roche have progressed and evolved over time, there are now two targets on which the parties continue to collaborate, with Roche maintaining its option rights to license and commercialize products directed to those two targets. In December 2023, the Company signed a second amendment to the 2018 Roche Agreement, the effect of which was to update the terms of the agreement as it pertains to the two targets on which the parties continue to collaborate. Under the second amendment to the 2018 Roche Agreement, Roche retains its option rights to license and commercialize products directed to those targets but the timing of its option rights are adjusted to begin upon Roche's receipt of the dose range finding data package. There was no material impact to the accounting in 2023 as a result of the second amendment to the 2018 Roche Agreement.</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2018 Roche Agreement, as amended, the Company receives annual research plan payments of $1.0 million for each active research plan. For the two targets that remain under collaboration among the parties, Roche is required to pay the Company fees of $2.0 million upon the progression of targets to the lead series identification achievement phase. In March 2025, the Company achieved this $2.0 million milestone for each of the active collaboration targets, which resulted in the addition of $4.0 million to the transaction price for the collaboration. In the event Roche exercises its option rights as to one of these targets, Roche is required to pay the Company an option exercise fee of $8.0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2018 Roche Agreement, as amended, for each target option exercised by Roche, the Company is eligible to receive milestone payments up to $273.0 million upon the achievement of certain development milestones with respect to corresponding products, subject to certain reductions and exclusions based on intellectual property coverage. Roche is also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required to pay the Company up to $150.0 million per target in one-time sales-based milestone payments upon the achievement of specified levels of net sales of a product directed to such target. Finally, Roche is required to pay the Company tiered royalties ranging from the mid-single digits to mid-teen percentages on net sales of products sold by Roche pursuant to its exercise of its option rights, subject to certain reductions. For sales of products for which the Company exercises its co-development right, the applicable royalty rates will be increased by a low-single digit percentage.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collaboration is managed by a joint research committee, or the Roche JRC. The Company has control over the Roche JRC prior to Roche’s exercise of its option rights as to a particular target, with Roche assuming control of the Roche JRC thereafter, Roche may terminate the 2018 Roche Agreement on a target-by-target or product-by-product basis under several scenarios, upon at least 90 days’ prior written notice. Each party also has various termination rights under certain circumstances, including but not limited to insolvency or a material breach by the other party, subject to certain conditions.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 Agreement accounting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commencement, the Company identified twelve performance obligations within the 2018 Roche Agreement, represented by the six potential research and development targets then included in the collaboration and the option rights held by Roche for each of those six targets. A non-exclusive royalty-free license to use the Company’s intellectual property to conduct research and development activities and participation on the Roche JRC were identified as promised services. However, the Company determined that the research and development license and research and development services were not distinct from one another, and participation on the Roche JRC was determined to be quantitatively and qualitatively immaterial.</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transaction price of the 2018 Roche Agreement is allocated to the performance obligations based on their relative standalone selling price. The allocated transaction price is recognized as revenue from collaboration agreements in one of two ways:</w:t>
      </w:r>
    </w:p>
    <w:p>
      <w:pPr>
        <w:spacing w:after="0" w:line="54" w:lineRule="exact"/>
        <w:rPr>
          <w:sz w:val="20"/>
          <w:szCs w:val="20"/>
          <w:color w:val="auto"/>
        </w:rPr>
      </w:pPr>
    </w:p>
    <w:p>
      <w:pPr>
        <w:jc w:val="both"/>
        <w:ind w:left="980" w:hanging="486"/>
        <w:spacing w:after="0" w:line="25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 occurs over this period and, in management’s judgment, is the best measure of progress towards satisfying the performance obligation.</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75"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The transaction price allocated to the options rights, which are considered material rights, is recognized in the period that Roche elects to exercise or elects to not exercise its option right to license and commercialize the underlying research and development target.</w:t>
      </w:r>
    </w:p>
    <w:p>
      <w:pPr>
        <w:spacing w:after="0" w:line="2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total transaction price to the identified performance obligations under the arrangement, and the amount of the transaction price unsatisfied as of March 31, 2026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r>
      <w:tr>
        <w:trPr>
          <w:trHeight w:val="180"/>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15"/>
                <w:szCs w:val="15"/>
                <w:color w:val="auto"/>
              </w:rPr>
            </w:pPr>
          </w:p>
        </w:tc>
        <w:tc>
          <w:tcPr>
            <w:tcW w:w="128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38"/>
        </w:trPr>
        <w:tc>
          <w:tcPr>
            <w:tcW w:w="8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20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Unsatisfied</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targets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 rights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Biogen Collaboration Research and License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2018, the Company entered into a collaboration research and license agreement, or the Biogen Agreement, with Biogen MA, Inc., or Biogen. In February 2020, the Company and Biogen amended the Biogen Agreement to provide further clarity around Biogen’s ownership of target binding moieties (which are portions of molecules), and any related intellectual property that are directed at or bind to collaboration targets. This amendment further provided that Biogen licenses to the Company rights to use these Biogen target binding moieties and any related intellectual property as needed in order to conduct the research and development activities contemplated under the Biogen Agreement. Pursuant to the terms of the Biogen Agreement, the Company and Biogen agreed to collaborate on research activities to develop novel treatments for neurological conditions such as Alzheimer's disease and Parkinson's disease through medicines that rely 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target protein degradation, or TPD, as their mode of action, all of which are created using the Company’s degrader technology. Under the terms of the Biogen Agreement, the Company was engaged to develop TPD therapeutics that utilize degrader technology for up to five target proteins over a period of 54 months, ending in June 2023. On a target-by-target basis, after successful completion of a defined target evaluation period, Biogen assumes full rights and responsibility for continued development of each target. As of June 30, 2024, the research term of the Biogen Agreement has been fully satisfied.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exchange for the non-exclusive research license from Biogen, as well as a $45.0 million nonrefundable upfront payment, the Company has granted Biogen a license to develop, commercialize, and manufacture products related to each of the targets (which is contingent on the parties not terminating the agreement), performs initial research services for drug discovery, has provided a non-exclusive research and commercial license to its intellectual property, and participates on the joint steering committee, or the Biogen JSC. For any target, following the achievement of development candidate criteria and prior to any IND-enabling study, Biogen will bear all costs and expenses of and will have sole discretion and decision-making authority with respect to the performance of further activities with respect to any degrader under development under the Biogen Agreement and all products that incorporate that degrader. Biogen is also required to pay the Company up to $35.0 million per target in development milestones and $26.0 million per target in one-time sales-based payments for the first product to achieve certain levels of net sales. In addition, Biogen is required to pay the Company royalties on a licensed product-by-licensed product basis, on worldwide net product sales. All milestone and sales-based payments are made after the Company has met the defined criteria in the joint research plan for that target, at which time Biogen will have control of the products related to the targets for commercialization; the receipt of these payments is contingent on the further development of products directed to the targets to commercialization by Biogen, without any additional research and development efforts from the Company.</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earned a $2.0 million milestone from Biogen after Biogen advanced BIIB145, a BTK degrader, that the Company delivered to Biogen, into the clinic. In September 2025, the Company earned a $2.0 million milestone from Biogen after Biogen advanced BIIB142, a development candidate for IRAK4 that the Company delivered to Biogen, into the clinic. The Company's performance obligation under the Biogen Agreement was fully satisfied as of March 2024 and the transaction price has been fully allocated.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Merck License and Collaboration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11, 2023, the Company and Merck Sharp &amp; Dohme, LLC, or Merck, entered into an exclusive license and collaboration agreement, the Merck Agreement, to develop degrader-antibody conjugates, or DACs, an emerging modality designed to selectively target and neutralize disease-causing proteins in cancer cells. The Merck Agreement was terminated by Merck, effective late November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Merck Agreement, the Company received a $10.0 million upfront payment. The Company and Merck collaborated to develop DACs directed to an initial undisclosed oncology target that was exclusive to the collaboration. The performance obligation under the Merck Agreement was fully satisfied upon the termination of the agreement in 2025 and the transaction price has been fully allocated.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collaboration agreements for the three months ended March 31, 2026 and 2025 in the condensed consolidated statements of operations and comprehensive loss was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1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MKDG Agreement</w:t>
            </w:r>
          </w:p>
        </w:tc>
        <w:tc>
          <w:tcPr>
            <w:tcW w:w="240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 w:type="dxa"/>
            <w:vAlign w:val="bottom"/>
          </w:tcPr>
          <w:p>
            <w:pPr>
              <w:spacing w:after="0"/>
              <w:rPr>
                <w:sz w:val="22"/>
                <w:szCs w:val="22"/>
                <w:color w:val="auto"/>
              </w:rPr>
            </w:pP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Betta Agreement</w:t>
            </w:r>
          </w:p>
        </w:tc>
        <w:tc>
          <w:tcPr>
            <w:tcW w:w="1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Roche Agreement</w:t>
            </w:r>
          </w:p>
        </w:tc>
        <w:tc>
          <w:tcPr>
            <w:tcW w:w="1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2"/>
                <w:szCs w:val="22"/>
                <w:color w:val="auto"/>
              </w:rPr>
            </w:pPr>
          </w:p>
        </w:tc>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Biogen Agreement</w:t>
            </w:r>
          </w:p>
        </w:tc>
        <w:tc>
          <w:tcPr>
            <w:tcW w:w="14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tcPr>
          <w:p>
            <w:pPr>
              <w:spacing w:after="0"/>
              <w:rPr>
                <w:sz w:val="22"/>
                <w:szCs w:val="22"/>
                <w:color w:val="auto"/>
              </w:rPr>
            </w:pP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Merck Agreement</w:t>
            </w:r>
          </w:p>
        </w:tc>
        <w:tc>
          <w:tcPr>
            <w:tcW w:w="1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540" w:type="dxa"/>
            <w:vAlign w:val="bottom"/>
          </w:tcPr>
          <w:p>
            <w:pPr>
              <w:spacing w:after="0"/>
              <w:rPr>
                <w:sz w:val="21"/>
                <w:szCs w:val="21"/>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from collaboration agreements</w:t>
            </w:r>
          </w:p>
        </w:tc>
        <w:tc>
          <w:tcPr>
            <w:tcW w:w="14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796"/>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related to the collaboration and license agreements consisted of the following in the Company’s condensed consolidated balance sheet as of March 31, 2026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140" w:type="dxa"/>
            <w:vAlign w:val="bottom"/>
          </w:tcPr>
          <w:p>
            <w:pPr>
              <w:spacing w:after="0"/>
              <w:rPr>
                <w:sz w:val="13"/>
                <w:szCs w:val="13"/>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195"/>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140" w:type="dxa"/>
            <w:vAlign w:val="bottom"/>
          </w:tcPr>
          <w:p>
            <w:pPr>
              <w:spacing w:after="0"/>
              <w:rPr>
                <w:sz w:val="16"/>
                <w:szCs w:val="16"/>
                <w:color w:val="auto"/>
              </w:rPr>
            </w:pPr>
          </w:p>
        </w:tc>
        <w:tc>
          <w:tcPr>
            <w:tcW w:w="13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MKDG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30"/>
        </w:trPr>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Betta Agreements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w:t>
            </w: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Roche Agreement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w:t>
            </w:r>
          </w:p>
        </w:tc>
      </w:tr>
      <w:tr>
        <w:trPr>
          <w:trHeight w:val="230"/>
        </w:trPr>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Biogen Agreement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25,564</w:t>
            </w:r>
          </w:p>
        </w:tc>
      </w:tr>
      <w:tr>
        <w:trPr>
          <w:trHeight w:val="21"/>
        </w:trPr>
        <w:tc>
          <w:tcPr>
            <w:tcW w:w="4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related to the collaboration and license agreements consisted of the following in the Company’s condensed consolidated balance sheet as of December 31, 2025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Deferred Revenue,</w:t>
            </w:r>
          </w:p>
        </w:tc>
        <w:tc>
          <w:tcPr>
            <w:tcW w:w="140" w:type="dxa"/>
            <w:vAlign w:val="bottom"/>
          </w:tcPr>
          <w:p>
            <w:pPr>
              <w:spacing w:after="0"/>
              <w:rPr>
                <w:sz w:val="13"/>
                <w:szCs w:val="13"/>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of Current</w:t>
            </w:r>
          </w:p>
        </w:tc>
        <w:tc>
          <w:tcPr>
            <w:tcW w:w="140" w:type="dxa"/>
            <w:vAlign w:val="bottom"/>
          </w:tcPr>
          <w:p>
            <w:pPr>
              <w:spacing w:after="0"/>
              <w:rPr>
                <w:sz w:val="17"/>
                <w:szCs w:val="17"/>
                <w:color w:val="auto"/>
              </w:rPr>
            </w:pPr>
          </w:p>
        </w:tc>
        <w:tc>
          <w:tcPr>
            <w:tcW w:w="13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4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MKDG Agreement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r>
      <w:tr>
        <w:trPr>
          <w:trHeight w:val="230"/>
        </w:trPr>
        <w:tc>
          <w:tcPr>
            <w:tcW w:w="4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Betta Agreements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w:t>
            </w:r>
          </w:p>
        </w:tc>
      </w:tr>
      <w:tr>
        <w:trPr>
          <w:trHeight w:val="229"/>
        </w:trPr>
        <w:tc>
          <w:tcPr>
            <w:tcW w:w="4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Roche Agreement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Supplemental financial information related to the collaboration and license agreements for the three months ended March 31, 2026 and 2025 are (in thousands):</w:t>
      </w:r>
    </w:p>
    <w:p>
      <w:pPr>
        <w:spacing w:after="0" w:line="88"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33655</wp:posOffset>
            </wp:positionV>
            <wp:extent cx="1954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5" w:lineRule="exact"/>
        <w:rPr>
          <w:sz w:val="20"/>
          <w:szCs w:val="20"/>
          <w:color w:val="auto"/>
        </w:rPr>
      </w:pPr>
    </w:p>
    <w:p>
      <w:pPr>
        <w:ind w:left="876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160" w:val="left"/>
          <w:tab w:leader="none" w:pos="9160" w:val="left"/>
          <w:tab w:leader="none" w:pos="9760" w:val="left"/>
          <w:tab w:leader="none" w:pos="10740" w:val="left"/>
        </w:tabs>
        <w:rPr>
          <w:sz w:val="20"/>
          <w:szCs w:val="20"/>
          <w:color w:val="auto"/>
        </w:rPr>
      </w:pPr>
      <w:r>
        <w:rPr>
          <w:rFonts w:ascii="Times New Roman" w:cs="Times New Roman" w:eastAsia="Times New Roman" w:hAnsi="Times New Roman"/>
          <w:sz w:val="18"/>
          <w:szCs w:val="18"/>
          <w:color w:val="auto"/>
        </w:rPr>
        <w:t>Revenue recognized that was included in the contract liability at the beginning of the period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2,351</w:t>
        <w:tab/>
        <w:t>$</w:t>
      </w:r>
      <w:r>
        <w:rPr>
          <w:sz w:val="20"/>
          <w:szCs w:val="20"/>
          <w:color w:val="auto"/>
        </w:rPr>
        <w:tab/>
      </w:r>
      <w:r>
        <w:rPr>
          <w:rFonts w:ascii="Times New Roman" w:cs="Times New Roman" w:eastAsia="Times New Roman" w:hAnsi="Times New Roman"/>
          <w:sz w:val="17"/>
          <w:szCs w:val="17"/>
          <w:color w:val="auto"/>
        </w:rPr>
        <w:t>5,827</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performance obligations under the MKDG Agreement, Betta Agreements, and Roche Agreement that were partially unsatisfied was $132.1 million. The vast majority of the remaining transaction price to be recognized as revenue is based on the estimated manufactured clinical supply costs under the Betta Pharma collaboration. Due to scientific and technical uncertainties of the clinical trials, the Company cannot be certain that this amount will be recognized as revenue in future periods.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the Company filed a registration statement on Form S-3, or the 2024 Registration Statement, with the SEC that became effective in November 2024 and registered the offering, issuance and sale of an unspecified amount of common stock, preferred stock, debt securities, warrants and/or units of any combination thereof. Simultaneously, the Company entered into a sales agreement with TD Securities (USA) LLC, as sales agent, to provide for the issuance and sale by the Company of up to $200.0 million of common stock from time to time in “at-the-market” offerings under the 2024 Registration Statement and related prospectus filed with the 2024 Registration Statement, or the 2024 ATM Program. In October 2025, the Company terminated the sales agreement prospectus related to the 2024 ATM Program. A total of 3,769,483 shares of the Company's common stock at an average purchase price of $2.55 had been sold through the 2024 ATM Program, as of October 16, 2025, which sales resulted in net proceeds of $9.4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Company filed a registration statement on Form S-3, or the 2025 Registration Statement, with the SEC that became effective in December 2025 and registered the offering, issuance and sale of up to $400.0 million of common stock, preferred stock, debt securities, warrants and/or units or any combination thereof, together with a sales agreement prospectus for the offer and sale of up to $125.0 million of common stock from time to time in “at-the-market” offerings under the 2025 Registration Statement and related prospectus filed with the 2025 Registration Statement, or the 2025 ATM Program. No sales have been made under the 2025 ATM program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Amendment to Fifth Amended and Restated Certificate of Incorporation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Company's stockholders approved, and the Company filed, an amendment to the Company's Fifth Amended and Restated Certificate of Incorporation to increase the number of authorized shares of common stock from 150,000,000 to 300,000,000. The certificate of amendment, which was filed with the Secretary of State of the State of Delaware, became effective in June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2025, the Company entered into an underwriting agreement, or the Underwriting Agreement, with Jefferies LLC, TD Securities (USA) LLC and Evercore Group L.L.C., or collectively, the Underwriters, related to an underwritten offering, or the 2025 Offering, of (i) 21,895,000 shares, or the Shares, of the Company’s common stock, par value $0.0001 per share, or the Common Stock; (ii) in lieu of Common Stock to certain investors, pre-funded warrants to purchase an aggregate of 28,713,500 shares of Common Stock, or the Pre-Funded Warrants; (iii) accompanying Class A warrants to purchase an aggregate of 50,608,500 shares of Common Stock (or pre-funded warrants in lieu thereof), or the Class A Warrants, and together with the Class B Warrants (as defined below), the Class A and Class B Warrants; and (iv) accompanying Class B warrants to purchase an aggregate of 50,608,500 shares of Common Stock (or pre-funded warrants in lieu thereof), or the Class B Warrants, and together with the Pre-Funded Warrants and the Class A Warrants, the Warrants. Each Share was offered and sold together with accompanying Class A and Class B Warrants each exercisable for one share of Common Stock at a combined offering price of $2.47 per Share and accompanying Class A and Class B Warrants, and each Pre-Funded Warrant was offered and sold together with accompanying Class A and Class B Warrants at a combined offering price of $2.4699 per Pre-Funded Warrant and accompanying Class A and Class B Warrants. The Company received net proceeds from the Offering, after deducting the underwriting discount and commissions and estimated offering expenses, of approximately $116.9 million. If all Warrants are exercised, the aggregate net proceeds to the Company from the Offering, after deducting underwriting discounts and commissions and estimated offering expenses, are expected to be $341.7 million. See Note 10 for details on the Warrants.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Warrants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2025 Offering, the Company issued 28,713,500 Pre-Funded Warrants, which have an initial exercise price per share of $0.0001, subject to certain adjustments. Each Pre-Funded Warrant can be exercised for one share of common stock. The Pre-Funded Warrants may be exercised at any time after the date of issuance by cash or cashless exercise, at the holder’s election, until all of the Pre-Funded Warrants are exercised in full, subject to a beneficial ownership limitation. The Pre-Funded Warrants do not expire.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2025 Offering, the Company issued 50,608,500 Class A Warrants that can be exercised either for one share of common stock at an initial exercise price per share of $2.22 or for one pre-funded warrant for an exercise price of $2.2199, subject to certain adjustments. Each Class A Warrant is exercisable immediately and will expire on the earlier of (i) 30 calendar days following the public release of nine-month median follow-up data from any expansion cohort in the Company’s planned Phase 1b trial of cemsidomide with elranatamab and (ii) the fifth anniversary of the date of issuance.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2025 Offering, the Company issued 50,608,500 Class B Warrants that can be exercised either for one share of common stock at an initial exercise price per share of $2.22 or for one pre-funded warrant for an exercise price of $2.2199, subject to certain adjustments. Each Class B Warrant is exercisable immediately and expires on the fifth anniversary of the date of issuance; provided that the Company may require the mandatory exercise of the Class B Warrants on or after the six-month anniversary of the date of issuance and so long as the per share closing price of the Common Stock on The Nasdaq Global Select Market on each of the ten consecutive trading days prior to the date of the Company’s notice of mandatory exercise is above $6.66, subject to certain adjustments.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and Class B Warrants are exercisable solely by means of a cash exercise; provided that, if, at the time a holder exercises its Class A Warrants, there is no effective registration statement registering, with a current prospectus available for, the issuance of the shares of Common Stock underlying such Class A or Class B Warrant or prior consent has been provided by the Company, then a holder may elect to exercise such warrant through cashless exercise pursuant to the terms of the applicable warrant agreement. If the Company consents to a cashless exercise for a holder of Class A or Class B Warrants, a similar allowance for cashless exercise shall be provided to all holders of the same class of warrants.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Warrants are classified as equity and the following table summarizes the warrant activity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234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40" w:type="dxa"/>
            <w:vAlign w:val="bottom"/>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3"/>
        </w:trPr>
        <w:tc>
          <w:tcPr>
            <w:tcW w:w="43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22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28,713,500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50,608,500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50,608,500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2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(6,187,000)</w:t>
            </w:r>
          </w:p>
        </w:tc>
        <w:tc>
          <w:tcPr>
            <w:tcW w:w="100" w:type="dxa"/>
            <w:vAlign w:val="bottom"/>
          </w:tcPr>
          <w:p>
            <w:pPr>
              <w:spacing w:after="0"/>
              <w:rPr>
                <w:sz w:val="19"/>
                <w:szCs w:val="19"/>
                <w:color w:val="auto"/>
              </w:rPr>
            </w:pP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224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22,526,500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50,608,500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2026 and 2025 was classified in the Company’s condensed consolidated statement of operations and comprehensive loss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30"/>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r>
      <w:tr>
        <w:trPr>
          <w:trHeight w:val="21"/>
        </w:trPr>
        <w:tc>
          <w:tcPr>
            <w:tcW w:w="8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stock options for the purchase of 76,780 shares of common stock with a weighted average exercise price of $1.88 per share and a weighted average grant-date fair value of $1.50 per share. As of March 31, 2026, the unrecognized compensation cost related to outstanding stock options was $10.2 million, which is expected to be recognized over a weighted-average period of 2.0 years.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7, 2024, the Company approved an option repricing program applicable to outstanding option awards granted to current employees of the Company under the Company’s 2020 Stock Option and Incentive Plan, or the 2020 Plan, with an exercise price per share greater than or equal to $22.00. On October 7, 2024, the 2020 Plan was amended to prohibit the plan's administrator from reducing the exercise price of outstanding stock options or stock appreciation rights or effecting repricing through cancellation and re-grant or cancellation in exchange for cash or other awards without prior stockholder approval.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Performance-accelerated restricted stock units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Company’s Board of Directors authorized the issuance of 1,588,140 performance-accelerated restricted stock units, or PARSUs, to certain employees, including members of the Company’s leadership team under the 2020 Plan. PARSUs are valued on the grant date using the grant date market price of the underlying shares. The PARSUs will vest in tranches at the earlier of the achievement of certain discovery and clinical milestones, or February 13, 2029. Upon vesting, each PARSU automatically converts into one share of the Company's common stock. No PARSUs vested during the three months ended March 31, 2026. As of March 31, 2026, 1,588,140 PARSUs remained outstanding, and the unrecognized compensation cost related to outstanding PARSUs was $2.9 million, which is expected to be recognized over a weighted-average period of 2.9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units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2,829,710 restricted stock units, or RSUs, that were subject to time-based vesting conditions to its employees. RSUs are valued on the grant date using the grant date market price of the underlying shares. A total of 712,681 RSUs vested during the three months ended March 31, 2026 on their respective vesting schedules. Upon vesting, each RSU automatically converts into one share of the Company’s common stock. During the three months ended March 31, 2026, the Company indirectly repurchased 105,756 shares of its common stock through net-share settlement as consideration for employee tax withholding obligations arising upon vesting of the RSUs, which tax amounts were remitted to the applicable revenue authorities by the Company in cash on behalf of the RSU holders. As of March 31, 2026, there were a total of 4,467,051 RSUs outstanding and the unrecognized compensation cost related to outstanding RSUs was $11.8 million, which is expected to be recognized over a weighted-average period of 2.7 years.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provisions of the authoritative guidance that addresses accounting for contingencies. The Company expenses as incurred the costs related to such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Loss per share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is the same. For purposes of the dilutive net loss per share calculation, stock options, and restricted stock units for which the performance or market vesting conditions have been met are considered to be common stock equivalents, while restricted stock units with performance or market vesting conditions that were not met as of March 31, 2026 are not considered to be common stock equivalents. The Company excluded the following potential common shares presented based on amounts outstanding at period end from the computation of diluted net loss per share for the periods indicated because including them would have had an anti-dilutive effect: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1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96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Warrants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50,608,500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Class B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50,608,500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12,700,875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13,893,266</w:t>
            </w:r>
          </w:p>
        </w:tc>
      </w:tr>
      <w:tr>
        <w:trPr>
          <w:trHeight w:val="229"/>
        </w:trPr>
        <w:tc>
          <w:tcPr>
            <w:tcW w:w="8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 units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6,055,191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3,285,822</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common stock equivalents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119,973,066</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17,179,088</w:t>
            </w:r>
          </w:p>
        </w:tc>
      </w:tr>
      <w:tr>
        <w:trPr>
          <w:trHeight w:val="21"/>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(26,322)</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Weighted-average number of shares used in computed net loss per share − basic and diluted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126,074,555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70,833,044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no income tax provision or benefit due to losses generated where no benefit was recorded due to the valuation allowance. The Company continues to maintain a full valuation allowance for its U.S. federal and state deferred tax assets as of March 31, 2026 due to uncertainty regarding future taxable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or CODM, is its chief executive officer, who reviews financial information presented on a consolidated basis. The CODM manages and allocates resources to the operations of our company on a total company basis by assessing the overall level of resources available and how to best deploy these resources across functions and research and development projects that are in line with our long-term company-wide strategic goals. Consistent with this decision-making process, the CODM uses operating expenses to monitor budget versus actual results for purposes of evaluating performance and to make decisions about the allocation of resources. The CODM does not utilize revenue in their decision-making process as a significant amount of the revenues recognized by the Company are derived from the upfront payments received from our collaboration partners (see Note 8 for further details).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financial metrics used by the CODM to make key operating decisions consist of development, research, and general and administrative expenses.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 2026 and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9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2"/>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Development expenses</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14,550</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expenses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r>
      <w:tr>
        <w:trPr>
          <w:trHeight w:val="229"/>
        </w:trPr>
        <w:tc>
          <w:tcPr>
            <w:tcW w:w="7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operating expenses</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30,895</w:t>
            </w:r>
          </w:p>
        </w:tc>
      </w:tr>
      <w:tr>
        <w:trPr>
          <w:trHeight w:val="21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profit or loss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26"/>
        </w:trPr>
        <w:tc>
          <w:tcPr>
            <w:tcW w:w="7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Non-operating income</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or reconciling items(1)</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r>
      <w:tr>
        <w:trPr>
          <w:trHeight w:val="22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w:t>
            </w:r>
          </w:p>
        </w:tc>
      </w:tr>
      <w:tr>
        <w:trPr>
          <w:trHeight w:val="21"/>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reconciling items include revenue and stock-based compensation expense for the three months ended March 31, 2026 and 2025, respectively.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8, 2026, the Company entered into a Research Collaboration and License Agreement, or the 2026 Roche Agreement, with Roche to collaborate on the discovery, development and commercialization of DACs. The Company and Roche have a pre-existing material relationship arising from the 2018 Roche Agreement.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2026 Roche Agreement, the Company granted Roche a worldwide, exclusive license under certain of the Company's intellectual property rights to develop, manufacture and commercialize DACs directed to two initial undisclosed oncology targets. After the collaboration term and a decision by Roche to proceed with development, Roche is solely responsible for all development, regulatory approval, manufacturing and commercialization costs. Under the terms of the 2026 Roche Agreement, Roche has made an upfront cash payment of $20.0 million. In addition, across the collaboration, C4T is eligible to receive over $1.0 billion in aggregate development, regulatory and commercial milestone payments, plus tiered royalties on net sales.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interim condensed consolidated financial statements and related notes appearing elsewhere in this Quarterly Report on Form 10-Q and our audited condensed consolidated financial statements and notes and Management’s Discussion and Analysis of Financial Condition and Results of Operations, included in our Annual Report on Form 10-K for the year ended December 31, 2025, filed with the SEC on February 26, 2026.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in Part II, Item 1A of this Quarterly Report on Form 10-Q and in our Annual Report on Form 10-K for the year ended December 31, 2025.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delivering on the promise of targeted protein degradation, or TPD, science to create a new generation of small-molecule medicines that transform patients’ lives. Leveraging our proprietary TORPEDO platform, we efficiently design and optimize small molecule protein degraders that are highly active against their desired targets by harnessing the body’s natural process for destroying unwanted proteins. Our strategy is to develop degraders that modulate clinically validated disease pathways with best-in-class or first-in-class potential to address significant unmet patient needs. To date, our degraders have demonstrated oral bioavailability and catalytic activity, and we have also leveraged our capability to design compounds that are brain penetrant.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advanced product candidate, cemsidomide, is an orally bioavailable MonoDAC degrader of protein targets called IKZF1 and IKZF3. Cemsidomide is currently in clinical development for multiple myeloma, or MM. The United States Food and Drug Administration, or FDA, has granted orphan drug designation to cemsidomide for the treatment of MM. In September 2025, we shared data from the Phase 1 trial in MM, demonstrating that cemsidomide in combination with dexamethasone in MM was generally well-tolerated over the range of doses tested, led to robust IKZF1/3 degradation and T-cell activation, and showed compelling anti-myeloma activity, as measured by overall response rate and clinical benefit rate. We are currently advancing cemsidomide in the Phase 2 MOMENTUM trial in combination with dexamethasone and the Phase 1b trial in combination with dexamethasone and elranatamab, which we are conducting pursuant to the Pfizer Agreement. We also plan to initiate another Phase 1b trial in the first half 2027 that will evaluate cemsidomide in additional combinations with approved multiple myeloma therapies. We believe our clinical development strategy provides an efficient path toward bringing cemsidomide to the growing myeloma patient population across multiple lines of therapy.</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other clinical oncology product candidate is CFT8919, an orally bioavailable, allosteric, mutant-selective BiDAC degrader of epidermal growth factor receptor, or EGFR, with an L858R mutation in non-small cell lung cancer, or NSCLC. In May 2023, we entered into a license and collaboration agreement with Betta Pharma to collaborate on the development and commercialization of CFT8919 in mainland China, Hong Kong SAR, Macau SAR and Taiwan, with us retaining rights to develop and commercialize CFT8919 in the rest of the world. In November 2024, Betta Pharma initiated a Phase 1 clinical trial in NSCLC patients with the EGFR L858R mutation in Greater China.</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Beyond these product candidates, we are further diversifying our internal discovery pipeline by developing new degraders focused on inflammation, neuroinflammation, and neurodegeneration. We have engineered degraders that have successfully achieved blood-brain barrier penetration in preclinical studies. A key part of our strategy is selecting targets where there is a strong degrader rationale over other therapeutic modalities. We are also advancing a discovery pipeline in collaboration with MKDG and Roche. Our partnership strategy allows us to potentially further expand our reach in both oncology and non-oncology indications.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2026, we entered into the 2026 Roche Agreement with Roche, to advance research in the emerging DAC modality. Please see Note 16,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the unaudited condensed consolidated financial statements included elsewhere in this Quarterly Report on Form 10-Q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description of the 2026 Roche Agreement.</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2026, the first patient was dosed in our Phase 1b trial evaluating the combination of cemsidomide, dexamethasone, and elranatamab</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first patient was dosed in our Phase 2 MOMENTUM trial evaluating cemsidomide in combination with dexamethasone.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for the foreseeable future. Our revenues to date have been generated through research collaboration and license agreements. We recognize revenue over the expected performance period under each agreement. We expect that our revenue for the next several years will be derived primarily from our current collaboration agreements and any additional collaborations that we may enter into in the future. To date, we have not received any royalties under any of our existing collaboration agreements.</w:t>
      </w:r>
    </w:p>
    <w:p>
      <w:pPr>
        <w:spacing w:after="0" w:line="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collaboration agreements with Roche, Biogen, Betta Pharma, and MKDG, please see Note 8, </w:t>
      </w:r>
      <w:r>
        <w:rPr>
          <w:rFonts w:ascii="Times New Roman" w:cs="Times New Roman" w:eastAsia="Times New Roman" w:hAnsi="Times New Roman"/>
          <w:sz w:val="18"/>
          <w:szCs w:val="18"/>
          <w:i w:val="1"/>
          <w:iCs w:val="1"/>
          <w:color w:val="auto"/>
        </w:rPr>
        <w:t>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to the unaudited condensed consolidated financial statements included elsewhere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and other third parties that conduct research, preclinical, and clinical activities on our behalf as well as third parties that manufacture our product candidates for use in our preclinical and clinical trials;</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materials for preclinical studies and clinical trials;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of equipment and allocated expenses for rent and maintenance of facilities and other operating costs;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licensing fees.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condensed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our research and development expenses will continue to increase substantially in connection with our planned preclinical and clinical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legal, business development, and administrative functions. General and administrative expenses also include legal fees relating to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potentially increase in the future to support increased research and development activities. These increases will likely include higher costs related to the hiring of additional personnel; fees to outside consultants, lawyers and accountants; and investor and public relations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primarily consists of the following:</w:t>
      </w:r>
    </w:p>
    <w:p>
      <w:pPr>
        <w:spacing w:after="0" w:line="117"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earned on our cash, cash equivalents, and marketable securities and accretion of discount on marketable securities.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our collaboration and license agreements consisted of the following for the three months ended March 31, 2026 and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MKDG Agreement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Betta Agreement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Roche Agreement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29"/>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Biogen Agreement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Merck Agreement</w:t>
            </w:r>
          </w:p>
        </w:tc>
        <w:tc>
          <w:tcPr>
            <w:tcW w:w="9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collaboration agreements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$1.1 million decrease in revenue in the three months ended March 31, 2026, as compared to the three months ended March 31, 2025 is primarily driven by a $1.4 million decrease in revenue related to the MKDG collaboration from our decision in 2025 to prioritize one KRAS, project and a $1.1 million decrease related to our Merck collaboration terminating in 2025. This was partially offset by the achievement of a $2.0 million milestone under the Biogen collaboration.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March 31, 2026 and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Personnel expenses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Preclinical development and discovery expenses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7,277</w:t>
            </w: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Clinical expenses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Facilities and supplies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r>
      <w:tr>
        <w:trPr>
          <w:trHeight w:val="230"/>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 and other expenses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24,606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27,072</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$2.5 million decrease in research and development expenses in the three months ended March 31, 2026 as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is primarily driven by:</w:t>
      </w:r>
    </w:p>
    <w:p>
      <w:pPr>
        <w:spacing w:after="0" w:line="99" w:lineRule="exact"/>
        <w:rPr>
          <w:sz w:val="20"/>
          <w:szCs w:val="20"/>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decrease in preclinical development and discovery expenses as a result of the termination of the Merck collaboration in 2025 and the decision to prioritize one KRAS project under the MKDG collaboration in 2025;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decrease in personnel expenses as a result of lower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March 31, 2026 and 2025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Personnel expenses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29"/>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March 31, 2026, as compared to the three months ended March 31, 2025, remained consistent year over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$0.2 million decrease in other income, net in the three months ended March 31, 2026 as compared to the three months ended March 31, 2025 is primarily driven by a $0.2 million decrease in interest and other income resulting from reduced invested balances as cash was used to fund operations, as well as lower interest rates for the three months ended March 31,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expect to incur significant expenses and operating losses for the foreseeable future as we advance the preclinical programs and our product candidates through clinical development. We do not currently have any approved products and have never generated any revenue from product sales. To date, we have financed our operations primarily through the sale of preferred stock, public offerings of our common stock, private placements of our common stock, and through payments from collaboration partners. As of March 31, 2026, we had cash, cash equivalents and marketable securities of approximately $268.3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(33,285)</w:t>
            </w:r>
          </w:p>
        </w:tc>
      </w:tr>
      <w:tr>
        <w:trPr>
          <w:trHeight w:val="230"/>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29,125</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change in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$29.9 million, and was driven primarily by the following uses of cash:</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$25.1 million;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decrease in accrued expenses and other current liabilities;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decrease in deferred revenue, primarily a result of our advancement of our collaboration programs;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decrease in our operating lease liability.</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were offset by non-cash expenses of $3.5 million, which primarily consisted of stock-based compensation expense of $2.7 million and a reduction of our right-of-use asset of $1.4 million, offset by the net accretion of discounts on marketable securities of $1.1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$16.2 million, and was driven primarily by the sales and maturities of marketable securities, net of purchases.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$0.5 million, and was driven primarily by proceeds from the exercise of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we expect to continue to incur significant expenses and increasing operating losses for the foreseeable future as we advance the preclinical programs and our product candidates through clinical development. In addition, we expect to continue to incur costs associated with operating as a public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anticipate that our expenses will increase substantially in the future, if and as we:</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Phase 1 and Phase 2 trials;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later-stage development and potential registrational trials for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additional product candidates into preclinical and clinical development;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proprietary TORPEDO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quality and scientific personnel;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ongoing research, product development, potential future commercialization efforts, operations as a public company and general and administrative roles;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development and commercialization of our product candidates, we are unable to estimate the amounts of increased capital and operating costs associated with our current and anticipated preclinical and clinical development. Our future capital requirements will depend on many factors, including:</w:t>
      </w:r>
    </w:p>
    <w:p>
      <w:pPr>
        <w:spacing w:after="0" w:line="68" w:lineRule="exact"/>
        <w:rPr>
          <w:sz w:val="20"/>
          <w:szCs w:val="20"/>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ongoing and planned first-in-human Phase 1 and Phase 2 trials for our lead product candidate and any future clinical development of our lead product candidate;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product candidates and development programs;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success of our existing and any future collaborations with third-party partners, including whether or not we receive additional research support or milestone payments from our existing collaboration partners upon the achievement of milestones;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willingness and ability to establish additional collaboration arrangements with other biotechnology or pharmaceutical companies on favorable terms, if at all, for the development or commercialization of current or additional future product candidates;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anticipated expenditures described above, we will need to obtain substantial additional financing to support our continuing operations and pursue our long-term business plan. Until such time, if ever, that we can generate substantial revenue from product sales, we expect to finance our cash needs through a combination of equity offerings, private placements of equity securities, debt offerings, collaborations, strategic alliances, and marketing, distribution or licensing arrangements. Although we may receive potential future milestone and royalty payments under our collaborations with Roche, Biogen, Betta Pharma, and MKDG, we do not have any committed external sources of funds as of March 31, 2026.</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are unable to raise capital when needed or on attractive terms,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raise additional capital through the sale of equity securities, each investor’s ownership interest will be diluted, and the terms of any securities we may issue could include liquidation or other preferences that adversely affect the rights of holders of our common stock. Preferred equity financing, if available, may involve agreements that include covenants limiting or restricting our ability to take specific actions, such as making acquisitions or capital expenditures or declaring dividends.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program</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2024, we filed a registration statement on Form S-3, or the 2024 Registration Statement, with the SEC that became effective on November 13, 2024 and registered the offering, issuance and sale of an unspecified amount of common stock, preferred stock, debt securities, warrants and/or units of any combination thereof. Simultaneously, we entered into a sales agreement with TD Securities (USA) LLC, as sales agent, to provide for the issuance and sale by us of up to $200.0 million of common stock from time to time in “at-the-market” offerings under the 2024 Registration Statement and related prospectus filed with the 2024 Registration Statement, or the 2024 ATM Program. On October 16, 2025, we terminated the sales agreement prospectus related to the 2024 ATM Program. A total of 3,769,483 shares of our common stock at an average purchase price of $2.55 had been sold through the 2024 ATM Program as of October 16, 2025, which sales resulted in net proceeds of $9.4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Company filed a registration statement on Form S-3, or the 2025 Registration Statement, with the SEC that became effective on December 10, 2025 and registered the offering, issuance and sale of up to $400 million of common stock, preferred stock, debt securities, warrants and/or units or any combination thereof, together with a sales prospectus for the offer and sale of up to $125.0 million of common stock from time to time in “at-the-market” offerings under the 2025 Registration Statement and related prospectus filed with the 2025 Registration Statement, or the 2025 ATM Program. No sales have been made under the 2025 ATM program for the three months ended March 31, 2026 (See Note 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2025, we entered into an underwriting agreement, or the Underwriting Agreement, with Jefferies LLC, TD Securities (USA) LLC and Evercore Group L.L.C., or collectively, the Underwriters, related to an underwritten offering, or the Offering, of (i) 21,895,000 shares, or the Shares, of our common stock; (ii) in lieu of common stock to certain investors, pre-funded warrants to purchase an aggregate of 28,713,500 shares of common stock, or the Pre-Funded Warrants; (iii) accompanying Class A warrants to purchase an aggregate of 50,608,500 shares of common stock (or pre-funded warrants in lieu thereof), or the Class A Warrants, and together with the Class B Warrants (as defined below), the Class A and Class B Warrants; and (iv) accompanying Class B warrants to purchase an aggregate of 50,608,500 shares of common stock (or pre-funded warrants in lieu thereof), or the Class B Warrants, and together with the Pre-Funded Warrants and the Class A Warrants, the Warrants. Each Share was offered and sold together with accompanying Class A and Class B Warrants each exercisable for one share of common stock at a combined offering price of $2.47 per Share and accompanying Class A and Class B Warrants, and each Pre-Funded Warrant was offered and sold together with accompanying Class A and Class B Warrants at a combined offering price of $2.4699 per Pre-Funded Warrant and accompanying Class A and Class B Warrants. We received net proceeds from the Offering, after deducting the underwriting discount and commissions and other estimated offering expenses, of approximately $116.9 million. If all Warrants are exercised, the aggregate net proceeds to us from the Offering, after deducting underwriting discounts and commissions and estimated offering expenses, are expected to be $341.7 million.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contract manufacturing organizations, contract research organizations, and other vendors to assist in the performance of our research and development activities and other services and products for operating purposes. These contracts generally provide for termination on notice, and therefore are cancellable contracts and not included in the table of contractual obligations and commitments.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except for the minimum rental commitments disclosed in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unaudited condensed consolidated financial statements included elsewhere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those policies that require the most significant judgments and estimates in the preparation of our unaudited condensed consolidated financial statements. We have determined that our most critical accounting policies are those relating to revenue recognition from collaborations, research and development expense recognition, lease liability measurement, and stock-based compensation. There have been no significant changes to our existing critical accounting policies discussed in our Annual Report on Form 10-K for the year ended December 31, 2025, which was filed with the SEC on February 26,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Our interest-earning assets consist of cash, cash equivalents, and marketable securities. Our interest income is sensitive to changes in the general level of interest rates, primarily United States interest rates. As of March 31, 2026, we had marketable securities of $207.0 million, which consisted of corporate debt securities, U.S. government debt securities, and U.S. Treasury securities. Our marketable securities are short term in nature with a weighted-average maturity date of 0.6 years. As such, while these interest-earning instruments carry a degree of interest rate risk, historical fluctuations in interest income have not been significant for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or the Exchange Act,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2026, our principal executive officer and principal financial officer concluded that our disclosure controls and procedures as of such date are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 See “Risk Factors</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 will continue to incur additional costs as a result of operating as a public company and our management will be required to devote substantial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new compliance initiatives and corporate governance practices.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As of the date of this Quarterly Report on Form 10-Q, we were not a party to any material legal matters or claims.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together with all the other information in this Quarterly Report on Form 10-Q, including the section titled “Management’s Discussion and Analysis of Financial Condition and Results of Operations” and our financial statements and related notes appearing at the end of this Quarterly Report on Form 10-Q, in evaluating our company. The risks and uncertainties described below and in our other filings with the SEC, may not be the only ones that we face. The occurrence of any of the events or developments described below, if they actually occur, could harm our business, financial condition, results of operations and growth prospects. As a result, the market price of our common stock could decline, and you may lose all or part of your investment in our common stock.</w:t>
      </w:r>
    </w:p>
    <w:p>
      <w:pPr>
        <w:spacing w:after="0" w:line="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risk factors denoted with a "*", if any, are newly added or have been materially updated from our Annual Report on Form 10-K for the year ended December 31, 2025.</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and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with limited operating history. Our net loss was $25.1 million and $26.3 million for the three months ended March 31, 2026 and 2025, respectively. As of March 31, 2026, we had an accumulated deficit of $763.8 million. To date, we have not generated any revenue from product sales and have financed our operations primarily through sales of our equity interests, including public offerings of our common stock, proceeds from our collaborations, share issuances and debt financing. We are still in the early stages of development of our product candidates. As a result, we expect that it will be several years, if ever, before we have a product candidate ready for regulatory approval and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without limitation, successfully completing preclinical studies and clinical trials of our product candidates, discovering additional product candidates, establishing arrangements with third parties for the conduct of our clinical trials, procuring clinical and commercial-scale manufacturing, obtaining marketing approval for our product candidates, manufacturing, marketing and selling any products for which we may obtain marketing approval, identifying collaborators to develop product candidates we identify or additional uses of existing product candidates, and successfully completing development of product candidates for our collaboration partners.</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at least the next several years. We anticipate that our expenses will increase substantially if and as we:</w:t>
      </w:r>
    </w:p>
    <w:p>
      <w:pPr>
        <w:spacing w:after="0" w:line="54"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conduct, and successfully complete first-in-human and later-stage clinical trials of our product candidates and as we expand the scope of our proprietary research and development portfolios;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TORPEDO platform to identify and then advance additional product candidates into preclinical and clinical development;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TORPEDO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expect to obtain marketing approval;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expand, maintain,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staffing needs to meet the changing needs of the business as we advance additional product candidates and/or continue to develop existing product candidates.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Further, we expect to continue to incur additional costs associated with operating as a public company, including significant legal, accounting, insurance, investor relations, and other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or other regulatory authorities to perform trials in addition to those that we currently expect, or if we experience any delays in either establishing appropriate manufacturing arrangements for or completing our clinical trials or the clinical development of any of our product candidates.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maintain our research and development efforts, expand our business or continue operations. A decline in the value of our company, or in the value of our common stock, could also cause you to lose all or part of your investment.</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or more of the product candidates that we develop is approved for commercial sale, we anticipate incurring significant costs associated with commercializing those approved products. Even if we are able to generate revenues from the sale of any approved products, we may not become profitable and may need to obtain additional funding to continue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pursue our business objectives and continue our operations.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prepare for and initiate, conduct, and complete our ongoing and planned clinical trials of our product candidates, advance our TORPEDO platform and continue research and development activities, expand our proprietary research and development portfolios and initiate and continue clinical trials of, and potentially seek marketing approval for, our current and future preclinical programs. In addition, if we obtain marketing approval for any of our product candidates, we expect to incur significant commercialization expenses related to product manufacturing, marketing, sales, and distribution. Further,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had cash, cash equivalents, and marketable securities of approximately $268.3 million as of March 31, 2026. In October 2025, we sold 21,895,000 Shares of our common stock and, in lieu of common stock to certain investors, Pre-Funded Warrants to purchase 28,713,500 shares of common stock as well as accompanying Class A Warrants to purchase an aggregate of 50,608,500 shares of our common stock (or, for those investors who so choose, pre-funded warrants) and Class B Warrants to purchase an aggregate of 50,608,500 shares of our common stock (or, for those investors who so choose, pre-funded warrants) in the Offering. We received net proceeds of approximately $116.9 million, after deducting the underwriting discount and commissions and estimated offering expenses. We believe that together these funds will be sufficient to fund our planned operating expenses to the end of 2028. We have based this estimate on assumptions that may prove to be wrong, and we could deplete our current capital resources sooner than we currently expect. We cannot predict whether any Pre-Funded Warrants, Class A Warrants or Class B Warrants issued in the 2025 Offering will be exercised and, therefore, have not included any anticipated proceeds from the potential exercise of these warrants in our estimate of our cash runway.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and planned first-in-human Phase 1 and Phase 2 clinical trials for our product candidates and any future clinical development of those product candidates;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clinical development stage programs and our other product candidates and development programs;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ongoing collaborations;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expect to receive marketing approval;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 the timing of the receipt of any such revenue;</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interruptions, including delays due to any global health epidemics, that we experience in our preclinical studies, clinical trials, and/or supply chain;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collaboration arrangements with other biotechnology or pharmaceutical companies on favorable terms, if at all, for the development or commercialization of our product candidates or access to our TORPEDO platform.</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cash, cash equivalents, and marketable securities will not be sufficient for us to fund any of our product candidates through regulatory approval. As a result, we will need to raise substantial additional capital to complete the development and commercialization of our product candidates. Identifying potential product candidates and conducting preclinical studies and clinical trials is a time-consuming, expensive and uncertain process that takes years to complete.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Adequate additional funds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one or more of the product candidates that we develop is approved for commercial sale, we anticipate incurring significant costs associated with commercializing those approved products. Even if we are able to generate revenues from the sale of any approved products, we may not become profitable and may need to obtain additional funding to continue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remain early in the development lifecycle, which may make it difficult for you to evaluate the success of our business to date and assess our future viability.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commenced operations in late 2015 and initiated our first Phase 1/2 clinical trial in 2021. Our activities to date have been limited to organizing and staffing our company, business planning, raising capital, conducting discovery and research activities, filing patent applications, identifying potential product candidates, developing and advancing our TORPEDO platform, undertaking preclinical studies, establishing arrangements with third parties for the manufacture of initial quantities of our product candidates, and preparing for and conducting early-stage clinical trials. While we have conducted clinical trials and our partner Betta Pharma is conducting a clinical trial evaluating one of our product candidates, all of our other potential product candidates are still in the discovery stage. We have not yet demonstrated our ability to obtain marketing approvals, manufacture a commercial-scale product directly or through a third party or conduct sales, marketing, and distribution activities necessary for successful product commercialization. Consequently, any predictions you make about our future success or viability may not be as accurate as they could be if we had a longer operating history or if we had already successfully completed some or all of these types of activities in the past.</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biopharmaceutical company, we may encounter unforeseen expenses, difficulties, complications, delays, and other known and unknown challenges. We will need to transition at some point from a company with a research and development focus to a company capable of supporting commercial activities and we may not be successful in making that transition.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the time, if ever, when we can generate substantial revenue from product sales, we expect to finance our cash needs through a combination of equity offerings, share issuances, private placements, debt financings, collaborations, strategic alliances, and marketing, distribution or licensing arrangements. Although we may receive potential future payments under our collaborations, we do not currently have any committed external source of funds. If we raise additional capital through the sale of equity or convertible debt securities, your ownership interest will be diluted and the terms of any securities we may issue in the future may include liquidation or other preferences that adversely affect your rights as a common stockholder. Debt financing and preferred equity financing, if available, may involve agreements that include covenants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limiting or restricting our ability to take specific actions, such as incurring additional debt, making acquisitions, or capital expenditures or declaring dividends.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TORPEDO platform for targeted protein degradation is unproven, which makes it difficult to predict the time, cost of development, and likelihood of successfully developing any products.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product candidates using targeted protein degradation, such as those developed through our TORPEDO platform, have been tested in humans and none of the product candidates developed through our TORPEDO platform have been approved in the United States, Europe, or any other jurisdiction. The data underlying the feasibility of developing these types of therapeutic products is both preliminary and limited. If any adverse learnings are made by other developers of targeted protein degraders, there is a risk that development of our product candidates could be materially impacted. Discovery and development of small molecules that harness the ubiquitin proteasome pathway to degrade protein targets have been impeded largely by the complexities and limited understanding of the functions, biochemistry, and structural biology of the specific components of the ubiquitin-proteasome system, including E3 ligases and their required accessory proteins involved in target protein ubiquitination, as well as by challenges of engineering compounds that promote protein-to-protein interactions.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scientific research that forms the basis of our efforts to develop our degrader product candidates under our TORPEDO platform is ongoing and the scientific evidence to support the feasibility of developing TORPEDO platform-derived therapeutic treatments is both preliminary and limited. Further, certain cancer patients have shown inherent primary resistance to approved drugs that inhibit disease-causing proteins, and other patients have developed acquired secondary resistance to these inhibitors. Although we believe our product candidates may have the ability to degrade the specific mutations that confer resistance to currently marketed inhibitors of disease-causing enzymes, any inherent primary or acquired secondary resistance to our product candidates in patients would prevent or diminish their clinical benefit, as would be the case if the scientific research that forms the basis of our efforts proves to be contradicted.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conducted early-stage clinical trials, at this time, we have not yet completed a late stage or registrational clinical trial of any product candidate. As a result, we are continuing to assess the safety of our lead product candidate in patients. Although some of our earlier-stage product candidates have produced observable results in animal studies, these product candidates may not demonstrate the same chemical and pharmacological properties in humans and may interact with human biological systems in unforeseen, ineffective or harmful ways. As a result, there could be adverse effects from treatment with any of our current or future product candidates that we cannot predict at this time.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regulatory approval process for novel product candidates such as ours can be more expensive and take longer than for other, better-known or extensively studied product candidates. Although other companies are also developing therapeutics based on targeted protein degradation, no regulatory authority has granted approval for any therapeutic of this nature at this time. As a result, it is more difficult for us to predict the time and cost of developing our product candidates and we cannot predict whether the application of our TORPEDO platform, or any similar or competitive protein degradation platforms, will result in the development of product candidates that may receive marketing approval. Any development problems we experience in the future related to our TORPEDO platform or any of our research programs may cause significant delays or unanticipated costs or may prevent the development of a commercially viable product. Any of these factors may prevent us from completing our preclinical studies or any clinical trials that we may initiate, as well as from commercializing any product candidates we may develop on a timely or profitable basis, if at all.</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biotechnology company and, while we have commenced clinical trials of certain of our product candidates, our other product candidates are still in the discovery stage. If we are unable to advance to clinical development, develop, obtain regulatory approval for and commercialize our product candidates or experience significant delays in doing so, our business may be materially harmed.</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clinical-stage biotechnology company and, while we have product candidates in ongoing clinical trials, our other product candidates are currently in the discovery stage. As a result, the risk of failure of such product candidates is high. We have invested substantially all of our research and development efforts and associated financial resources into building our TORPEDO platform and identifying and conducting preclinical development of our current product candidates. Our ability to generate revenue from product sales, which we do not expect will occur for several years, if ever, will depend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heavily on the successful development and eventual commercialization of one or more of our product candidates. The success of our product candidates will depend on several factors, including the following:</w:t>
      </w:r>
    </w:p>
    <w:p>
      <w:pPr>
        <w:spacing w:after="0" w:line="5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conduct and completion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or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suitable arrangements with third-party manufacturers for both clinical and, if approved, commercial supplies of our product candidates;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 candidates that achieve the therapeutic properties desired and appropriate for their intended indications;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products and maintaining that profile following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 and success of our third-party collaboration partners in accomplishing any of the aforementioned activities in the markets in which they are developing our product candidate(s) in a timely manner.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objectives in a timely manner, or at all, we could experience significant delays or an inability to successfully commercialize our product candidates, which could materially harm our business. Moreover, if we do not receive regulatory approvals, we may not be able to continue our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Relative to companies that are more established than we are or that have a larger footprint than we do, we have relatively limited experience as a company in completing preclinical studies to enable the filing of INDs, submitting INDs or commencing, enrolling, and conducting clinical trials.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experience as a company in completing IND-enabling preclinical studies comes from our work in commencing clinical development of our product candidates. While this work represents a substantial amount of progress, and we have successfully received IND approval and initiated a number of phase 1/2 clinical trials, we still have relatively limited experience as a company in commencing, enrolling, and conducting clinical trials, particularly late stage clinical trials, compared to companies with a larger footprint. In part because of this limited experience, while we continue to make strides in advancing our clinical trials, we cannot be certain that our planned clinical trials will begin, enroll, or be completed on time, if at all. Additionally, even if the applicable regulatory authorities agree with the design and implementation of the clinical trials set forth in our INDs upon initial IND submission, we cannot guarantee that those regulatory authorities will not change their requirements in the future or that we will ultimately receive approval for the respective product candidate. These considerations apply to previously submitted INDs described above, additional INDs that we may submit in the future and also to new clinical trials we may submit as amendments to existing or new INDs.</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large-scale or late-stage clinical trials would require significant additional financial and management resources and reliance on third-party clinical investigators, contract research organizations, or CROs, and consultants. Relying on third-party clinical investigators, CROs and consultants may cause us to encounter delays that are outside of our control and, for each of the product candidates that is currently in clinical development, we have engaged CROs to lead our first-in-human Phase 1/2 clinical trials. Relying on third parties in the conduct of our preclinical studies or clinical trials exposes us to a risk that they may not adequately adhere to study or trial protocols or comply with applicable regulations, including good laboratory practices or good clinical practices, or GCP, as required for any studies or trials we plan to submit to regulatory authorities. We may also be unable to identify and contract with sufficient investigators, CROs, and consultants on a timely basis or at all, and we may also determine and have in the past determined after a clinical trial has commenced that a change in CRO is warranted. There can be no assurance that we will be able to negotiate, enter into, and maintain appropriate contractual arrangements with our current or potential future CROs, if and when necessary for our other product candidates, on terms that are acceptable to us on a timely basis, or at all.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 Further, the results of preclinical studies may not be predictive of future results in later studies or trials and initial success in clinical trials may not be indicative of results obtained when these trials are completed or in later stage clinical trials.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 for the commercial sale of any of our product candidates, we must demonstrate through lengthy, complex, and expensive preclinical studies and clinical trials that our product candidates are both safe and effective for use in each target indication. This testing is expensive and can take many years to complete. Further, the outcome of these activities is inherently uncertain, as failure can occur at any time during the clinical development process. Because many of our product candidates are in an early stage of development and have either never been tested in humans or have only completed early clinical trials, there is a high risk of failure. In addition, because targeted protein degraders are a relatively new class of product candidates, any failures or adverse outcomes in preclinical or clinical testing seen by other developers in this class could materially impact the success of our programs. We may never succeed in developing marketable products.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also possible that the results of preclinical studies and early clinical trials of our product candidates may not be predictive of the results of later-stage clinical trials.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Although product candidates may demonstrate promising results in preclinical studies and early clinical trials, they may not prove to be effective or safe in subsequent clinical trials. The results of the dose escalation portion of our completed, ongoing, and planned first-in-human Phase 1/2 clinical trials of our product candidates may not be predictive of the results of further clinical trials of these product candidates or any other product candidates and, in the case of ongoing and planned first-in-human Phase 1/2 clinical trials, may not be sufficient to enable us to progress to the Phase 2 portion of a Phase 1/2 clinical trial. Testing on animals occurs under different conditions than testing in humans and, therefore, the results of animal studies may not accurately predict human experience.</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preclinical studies and clinical trials. As was the case for our CFT8634 product candidate, which was the subject of a Phase 1/2 clinical trial that we ultimately elected to shut down, product candidates in clinical trials may fail to show the desired safety and efficacy profile despite having progressed successfully through preclinical studies and/or initial or earlier stage clinical trials. Likewise, early, smaller-scale clinical trials may not be predictive of eventual safety or effectiveness in large-scale pivotal clinical trials. In particular, the small number of patients in our planned early clinical trials or the designs of these trials may make the results of these trials less predictive of the outcome of later clinical trials. Many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preclinical studies and clinical trials are never approved as marketable products. Any setbacks of this nature in our clinical development could materially harm our business, financial condition, results of operations and prospects.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expect that the first clinical trials for our product candidates will be open-label studies, where both the patient and investigator know whether the patient is receiving the investigational product candidate or either an existing approved drug or placebo. This is the case with our completed and ongoing first-in-human clinical trials and will be the case in the first-in-human clinical trials of the additional product candidates we presently expect to advance into clinical development. Open-label clinical trials often test only the investigational product and sometimes do so at different dose levels. Open-label clinical trials are subject to various limitations that may exaggerate any therapeutic effect as patients in open-label clinical trials are aware of whether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preclinical studies or clinical trials that we may conduct or have conducted may not demonstrate the safety and efficacy necessary to obtain regulatory approval to market our product candidates. If the results of our ongoing or future preclinical studies or clinical trials are inconclusive with respect to the safety and efficacy of our product candidates, if evidence of target degradation does not correlate with clinical efficacy, if we do not meet the clinical endpoints with statistical and clinically meaningful significance or if there are safety concerns associated with our product candidates, we may be prevented from or delayed in obtaining marketing approval for those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have commenced clinical trials of several of our product candidates, and our partner Betta Pharma is conducting an ongoing clinical trial of another of our product candidates, we have not yet initiated clinical trials for the remainder of our product candidates. As is the case with all drugs, it is likely that there may be side effects associated with the use of our product candidates related to on-target toxicity, off-target toxicity, or other mechanisms of drug toxicity including chemical-based toxicity. Results of our clinical trials could reveal a high and unacceptable severity and prevalence of side effects of this nature. If unacceptable levels of toxicity are observed or if our product candidates have other characteristics that are unexpected, we may abandon their development, modify our development plans as to dose level and/or dose schedule or otherwise, or limit development to more narrow uses or subpopulations in which the undesirable side effects or other characteristics are less prevalent, less severe, or more acceptable from a risk-benefit perspective. For example, due to observed safety signals, we previously modified the dosing schedule in our Phase 1/2 clinical trial of cemsidomide. Further, if we were to observe unacceptable levels of side effects, or if other developers of similar targeted protein degraders were to find an unacceptable severity or prevalence of side effects with their drug candidates,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an ongoing trial or result in potential product liability claims. Many compounds that initially showed promise in early-stage testing for treating cancer have later been found to cause side effects that prevented further development of the compound. Any of these occurrences may significantly harm our business, financial condition, and prospects.</w:t>
      </w:r>
    </w:p>
    <w:p>
      <w:pPr>
        <w:spacing w:after="0" w:line="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conclusions and analyses drawn from announced or published interim top-line and preliminary data from our clinical trials from time to time may change as more patient data become available. Further, all interim data that we provide remains subject to audit and verification procedures that could result in material changes in the final data.</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conduct are subject to the risk that one or more of the clinical outcomes may materially change as patient enrollment continues and more patient data become available. In addition, preliminary or top-line data also remains subject to audit and verification procedures that may result in the final data being different, potentially in material ways, from the preliminary data we previously announced or published. As a result, interim, top-line, and preliminary data should be viewed with caution until final data are available. Adverse differences between preliminary or interim data and final data could significantly harm our reputation, business, financial condition, results of operations, and prospects.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product candidates.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commenced clinical trials of several product candidates (either directly or through our partner, Betta Pharma), the risk of failure for all of our product candidates, whether in the discovery or clinical development stage, remains high. We are unable to predict when or if any of our product candidates will prove effective or safe in humans or will receive marketing approval. Before obtaining marketing approval from regulatory authorities for the sale of any product candidate, we must conduct extensive clinical trials to demonstrate the safety and efficacy of our product candidates in humans.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enroll and complete and is uncertain as to the timing and outcome. A failure of one or more clinical trials can occur at any stage of the process or we may choose not to continue clinical development of a product candidate for a variety of other reasons, as we have done in the past. We may experience numerous unforeseen events during or as a result of clinical trials, which could delay or prevent our ability to receive marketing approval or commercialize our product candidates, including:</w:t>
      </w:r>
    </w:p>
    <w:p>
      <w:pPr>
        <w:spacing w:after="0" w:line="72"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 consensus with regulators on clinical trial design or the inability to produce acceptable preclinical results to enable entry into human clinical trials;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the failure to reach, agreement on acceptable clinical trial contracts or clinical trial protocols with prospective trial sites or CROs;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regulators or institutional review boards, or IRBs, to authorize us or our investigators to commence a clinical trial or conduct a clinical trial at a prospective trial site;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in selecting endpoints for diseases that have not been well studied and for which the natural history and course of the disease are poorly understood;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that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participants may drop out of these clinical trials at a higher rate than we anticipate or fail to return for post-treatment follow-up or we may be unable to recruit suitable patients to participate in our clinical trials;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our clinical trials;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if we find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parties with whom we contract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from regulators or IRBs that we or our investigators suspend or terminate clinical trials for various reasons, including noncompliance with regulatory requirements or unacceptable safety risks;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modify our development plans as to dose level and/or dose schedule or otherwise, or abandon product development programs;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greater than we believe is warranted based on the data that emerges from clinical trials of our product candidates;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shortages, including but not limited to the lack of appropriately trained or experienced clinical research associates or medical staff at the institutions where we conduct our clinical trials or the lack of sufficient support personnel at these institutions involved in site contracting and activation, may cause delays or create other challenges to the timely and efficient conduct of our clinical trials;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for any reason, including as a result of a serious adverse event, concerns with a class of product candidates or after an inspection of our clinical trial operations, trial sites or manufacturing facilities;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any global health epidemics, which may increase the likelihood that we encounter certain of these difficulties or cause other delays in initiating, enrolling, conducting, or completing our planned clinical trials.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may encounter challenges in our clinical development programs due to evolving regulatory policy in the United States or other jurisdictions. For example, in 2021, the FDA's Oncology Center of Excellence launched Project Optimus, an initiative to reform dose selection in oncology drug development, and this initiative is still being implemented. If the FDA believes we have not sufficiently established that the selected dose or doses for our product candidates maximize efficacy as well as safety and tolerability, the FDA may require us to conduct additional clinical trials or generate additional dosing-related information, which could significantly delay and/or increase the expense of our clinical development programs.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enroll or complete clinical trials of our product candidates or other testing, if the results of these trials or tests are not positive or are only modestly positive, or if there are safety concerns related to our product candidates, we may:</w:t>
      </w:r>
    </w:p>
    <w:p>
      <w:pPr>
        <w:spacing w:after="0" w:line="6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marketing approval;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or impose restrictions on distribution of a product candidate in the form of a risk evaluation and mitigation strategy, or REMS;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removed from the market after obtaining marketing approval.</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While we have commenced clinical trials of several product candidates and our partner Betta Pharma has commenced a clinical trial of another of our product candidates, we do not know whether any of our (or our partner's) other clinical trials will begin as planned, will need to be restructured or will be completed on schedule, or at all. Significant clinical trial delays also could shorten any periods during which we may have the exclusive right to commercialize our product candidates or could allow our competitors to bring products to market before we do and impair our ability to successfully commercialize our product candidates, which may harm our business, results of operations, financial condition and prospects.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The FDA often approves new oncology therapies initially only for third-line or later use, meaning for use after two or more other treatments have failed. When cancer is detected early enough, first-line therapy, usually systemic anti-cancer therapy (e.g., chemotherapy), surgery, radiation therapy or a combination of these, is sometimes adequate to cure the cancer or prolong life without a cure. Second-line and third-line therapies are administered to patients when prior therapy has been shown to not be effective. Our ongoing and planned early-stage clinical trials will be with patients who have received one or more prior treatments and we expect that we would initially seek regulatory approval of our lead product candidates as second-line or later therapy. Subsequently, for those products that prove to be sufficiently beneficial, if any, we would expect to seek approval potentially as a first-line therapy, but any product candidates we develop, even if approved for second-line or third-line therapy, may not be approved for first-line therapy and, prior to seeking and/or receiving any approvals for first-line therapy, we may have to conduct additional clinical trials.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Targeted protein degradation is a novel modality that continues to attract substantial interest from existing and emerging biotechnology and pharmaceutical companies. As a result, we face substantial competition, which may result in others discovering, developing or commercializing products for the same indication and/or patient population before or more successfully than we do.</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We face, and will continue to face, competition from third parties that use protein degradation, antibody therapy, inhibitory nucleic acid, immunotherapy, gene editing, or gene therapy development platforms and from companies focused on more traditional therapeutic modalities, such as small molecule inhibitors. The competition we face and will face is likely to come from multiple sources, including major pharmaceutical, specialty pharmaceutical and biotechnology companies, academic institutions, government agencies and public and private research institutions.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TPD is an emerging therapeutic modality that has the potential to deliver therapies that improve outcomes for patients. As a result, a number of biotechnology and pharmaceutical companies are already working to develop degradation-based therapies and the number of companies entering this space continues to increase. We are aware of several biotechnology companies developing product candidates based on chimeric small molecules for targeted protein degradation, as well as several large pharmaceutical companies and academic institutions have disclosed investments and research in this field. In addition to competition from other protein degradation therapies, any products that we develop may also face competition from other types of therapies, such as small molecule, antibody, T cell or gene therapies.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Mergers and acquisitions in the pharmaceutical and biotechnology industries may result in even more resources being concentrated among a smaller number of our competitors, the scale of which could be difficult to compete against.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 candidate that we may develop. Our competitors also may obtain FDA or other regulatory approval for their product candidates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products are expected to become available on a generic basis over the coming years. If our product candidates are approved, we expect that they will be priced at a significant premium over competitive generic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research and development tax credit carryforwards may be limited.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we had $359.6 million federal net operating loss carryforwards and $474.9 million gross in U.S. state net operating loss carryforwards, portions of which expire at various dates through 2045. Under current law, federal net operating losses generated in tax years beginning after 2017, if any, will not expire and may be carried forward indefinitely, but our ability to deduct such federal net operating losses in tax years beginning after December 31, 2021 will be limited to the lesser of the net operating loss carryover or 80% of the corporation’s adjusted taxable income (subject to Section 382 of the Internal Revenue Code of 1986, as amended). It is uncertain if and to what extent various states will conform to the federal tax laws. In addition, at the state level, there may be periods during which the use of net operating losses is suspended or otherwise limited, which could accelerate or permanently increase state taxes owed.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also had U.S. federal and state research and development tax credit carryforwards of $18.8 million and $9.2 million, respectively, which expire at various dates through 2045. These tax credit carryforwards could expire unused and be unavailable to offset our future income tax liabilities.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or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In 2021, we completed a study of ownership changes from inception through December 31, 2020, which concluded that we experienced ownership changes as defined by Section 382 of the Code. However, there were no net operating loss carryforwards that were limited or expired unused. We have not updated the study to assess whether a change of ownership has occurred following the period covered by the 2021 study. We may have experienced additional ownership changes that have not been identified that could result in the expiration of our net operating loss and tax credit carryforwards before utilization and we may experience subsequent shifts in our stock ownership, some of which are outside our control. As a result, if we earn net taxable income and determine that an ownership change has occurred and our ability to use our historical net operating loss and tax credit carryforwards is materially limited, that will harm our future operating results by effectively increasing our future tax obligations.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business and financial condition.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or the IRS, and the U.S. Treasury Department. For example, the One Big Beautiful Bill Act, or the OBBBA, was signed into law on July 4, 2025 and made significant changes to U.S. federal tax law. Changes to tax laws (which changes may have retroactive application) could adversely affect us or holders of our common stock.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or results are identified during the development of any product candidates we may develop, we may need to modify, abandon, or limit our further clinical development of those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commenced clinical trials of several product candidates and our partner Betta Pharma has commenced a clinical trial of another of our product candidates, all of our other product candidates are still in the discovery stage at this time, which means that we have not yet evaluated any of our other product candidates in human clinical trials. It is impossible to predict when or if any product candidates we may develop will prove safe in humans. Any of the product candidates developed through our TORPEDO platform may cause undesirable side effects, which could arise at any time during preclinical or clinical development.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potential risk with product candidates developed through our TORPEDO platform, or in any protein degradation product candidate, is that healthy proteins or proteins not targeted for degradation may be degraded or that the degradation of the targeted protein in and of itself could cause adverse events, undesirable side effects or unexpected characteristics or results. There is also the potential risk of delayed adverse events following treatment using product candidates developed through our TORPEDO platform.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product candidates we develop are associated with serious adverse events or undesirable side effects or have other characteristics or results that are unexpected, we may choose or need to abandon their development, modify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plans as to dose level and/or dose schedule or otherwise, or limit development to certain uses or subpopulations in which the adverse events, undesirable side effects or other characteristics are less prevalent, less severe or more acceptable from a risk-benefit perspective. The occurrence of any of these types of events would have an adverse effect on our business, financial condition, results of operations, and prospects. Many product candidates that initially showed promise in early-stage testing for treating cancer or other diseases have later been found to cause side effects that prevented further clinical development of the product candidates or limited their competitiveness in the market. For example, single agent BRAF inhibitors can cause a secondary malignancy called keratoacanthoma, which is a skin cancer caused by paradoxical activation of BRAF upon inhibitor binding.</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our clinical trials, our timelines for submitting applications for and receiving necessary marketing approvals could be delayed, or we may be prevented from obtaining marketing approvals altogether.</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initiate clinical trials for our product candidates if we are unable to locate and enroll a sufficient number of eligible patients to participate in these trials, as required by the FDA or similar regulatory authorities outside of the United States. While we believe that we will be able to enroll a sufficient number of patients into each of our ongoing and planned clinical trials, we cannot predict with certainty how difficult it will be to enroll patients for trials, some of which are in rare indications. Our ability to identify and enroll eligible patients for clinical trials of our product candidates may turn out to be limited or we may be slower in enrolling these trials than we anticipate. In addition, some of our competitors have ongoing clinical trials for product candidates that treat the same indications as our product candidates and, as a result, patients who would be eligible for our clinical trials may instead elect to enroll in clinical trials of our competitors’ product candidates. Patient enrollment in clinical trials may also be affected by other factors including:</w:t>
      </w:r>
    </w:p>
    <w:p>
      <w:pPr>
        <w:spacing w:after="0" w:line="8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candidates offered in the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and sufficient staffing at clinical trial sites;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the scope and invasiveness of required procedures under clinical trial protocols, some of which may be inconvenient and/or uncomfortable;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epidemics, which may affect the conduct of a clinical trial, including by slowing potential enrollment or reducing the number of eligible patients for clinical trials or by interfering with patients’ ability to return to the clinical trial site for required monitoring, procedures, or follow-up.</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or our inability to do so on a timely basis, would result in significant delays and could require us to abandon one or more clinical trials altogether. Enrollment delays in our clinical trials may also result in increased development costs for our product candidates, which would cause the value of our company to decline and limit our ability to obtain additional financing.</w:t>
      </w:r>
    </w:p>
    <w:p>
      <w:pPr>
        <w:spacing w:after="0" w:line="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partners may develop our product candidates in combination with other drugs. If the FDA or similar regulatory authorities outside of the United States do not approve these other drugs, revoke their approval of these other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drugs or if safety, efficacy, manufacturing or supply issues arise with the drugs we choose to evaluate in combination with our product candidates, we may be unable to obtain approval of or market our product candidates.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study design for a number of our product candidates, once a recommended dose is identified from the dose escalation portion of our first-in-human Phase 1/2 clinical trial, we often plan to conduct a portion of that clinical trial in combination with one or more other medicines. We did not develop or obtain marketing approval for, nor do we manufacture or sell, any of the currently approved drugs that we may study in combination with our product candidates. If the FDA or similar regulatory authorities outside of the United States revoke their approval of the drug or drugs that we intend to deliver in combination with our product candidates, we will not be able to market our product candidates in combination with those revoked drugs.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safety or efficacy issues arise with any of these drugs, we could experience significant regulatory delays and the FDA or similar regulatory authorities outside of the United States may require us to redesign or terminate certain of our clinical trials. If the drugs we use are replaced as the standard of care for the indications we choose for our product candidates, the FDA or similar regulatory authorities outside of the United States may require us to conduct additional clinical trials. In addition, if manufacturing or other issues result in a shortage of supply of the drugs with which we determine to combine with our product candidates, we may not be able to complete clinical development of our product candidates on our current timeline or at all.</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our product candidates were to receive marketing approval or be commercialized for use in combination with other existing drugs, we would continue to be subject to the risks that the FDA or similar regulatory authorities outside of the United States could revoke approval of the drugs used in combination with our product candidates or that safety, efficacy, manufacturing or supply issues could arise with these existing drugs.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Combination therapies are commonly used for the treatment of cancer and we would be subject to similar risks if we were to elect to develop any of our other product candidates for use in combination with other drugs or for indications other than cancer. This could result in our own products being removed from the market or being less successful commercially.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current clinical-stage programs are focused on oncology targets, a key element of our strategy is to apply our TORPEDO platform to develop product candidates that address a broad array of targets and new therapeutic areas, such as inflammation, neuroinflammation and neurodegenerative diseases. The therapeutic discovery activities that we are conducting may not be successful in identifying product candidates that are useful in treating cancer or other diseases. Our research programs may initially show promise in identifying potential product candidates, yet fail to yield product candidates for clinical development for a number of reasons, including:</w:t>
      </w:r>
    </w:p>
    <w:p>
      <w:pPr>
        <w:spacing w:after="0" w:line="75"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receive marketing approval or achieve market acceptance;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 or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size for the target indications of a potential product candidate may diminish over time due to improvements in the standard of care to the point that further development is not warranted.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may estimate the timing of the anticipated accomplishment of various scientific, clinical, regulatory, and other product development goals, which we sometimes refer to as milestones. These milestones may include the commencement or completion of preclinical studies and clinical trials and the submission of regulatory filings. From time to time, we may publicly announce the expected timing of some of these milestones. Each of these milestones is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or the commercialization of our products may be delayed or never achieved and, as a result, our stock price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our current and future clinical trials and those third parties may not perform satisfactorily, including by failing to meet deadlines for the completion of our clinical trials or failing to comply with contractual obligations, regulatory requirements, or our clinical protocols.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rely on and plan to continue to rely on CROs to conduct our clinical trials of our product candidates. Additionally, we must contract with third-party research sites for the conduct of our clinical trials. Just as we rely on Betta Pharma to develop CFT8919 in Greater China in an efficient and effective manner, we may also similarly rely on other third party collaboration partners in the future to develop one or more of our product candidates in various territories on certain timelines. Our agreements with these CROs, sites, and other third parties might terminate for a variety of reasons, including a failure to perform by the third parties. If we were ever to need to enter into alternative arrangements or if we were to need to change a CRO for an ongoing clinical trial, which we have done in the past, we might experience delays in our clinical development activities.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reliance on CROs for research and development activities will reduce our control over these activities but will not relieve us of our responsibilities for how these activities are performed.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safety and confidentiality of trial participants are protected. GCP compliance extends not only to sponsors of clinical research but also to third parties including CROs and sites involved in the conduct of clinical research. Similarly, other regulators throughout the world require compliance with similar standards that are also applicable to clinical trial sponsors and other third parties like CROs and clinical trial sites.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these CROs or sites may have relationships with other entities, some of which may be our peers or competitors. If the CROs or sites with whom we work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and may not be able to, or may be delayed in our efforts to, successfully commercialize our product candidates. Our failure or the failure of these third parties to comply with applicable regulatory requirements or our stated protocols could also subject us to enforcement action. Moreover, our business may be implicated if any of these third parties violates federal or state fraud and abuse or false claims laws and regulations or healthcare privacy and security laws.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currently rely on certain foreign or foreign-owned third-party vendors to manufacture certain materials used in clinical trials of our product candidates or to provide services in connection with our clinical trials or discovery activities. Our engagement with these foreign and foreign-owned vendors may be subject to new U.S. legislation or investigations, sanctions, tariffs, trade restrictions and other foreign regulatory requirements, which could cause us to need to identify alternate service providers, increase the cost or reduce the supply of materials available to us, delay the procurement or supply of these materials, delay or impact clinical trials or commercial launch of any resulting product, or have an adverse effect on our ability to secure significant commitments from governments to purchase our potential therapies, any of which could adversely affect our financial condition and business prospects.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delays or loss for a variety of reasons. We contract with third parties for the manufacture of our product candidates for preclinical testing and clinical trials and expect to continue to do so for commercialization. This reliance on third parties increases the risk that we will not have sufficient quantities of our product candidates or products or that we will not have the quantities we desire or require at an acceptable cost or quality or at the right time, which could delay, prevent, or impair our development or commercialization efforts.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contract manufacturing organizations, or CMOs, for both drug substance and finished drug product. This reliance on third parties may increase the risk that we will not have sufficient quantities of our product candidates or products or that we will not have the quantities we desire or require at an acceptable cost or quality, which could delay, prevent, or impair our development or commercialization efforts, including where a pre-approval inspection or an inspection of manufacturing sites is required and FDA is unable to complete those required inspections during the review period for any reason.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third-party manufacturers entails additional risks, including:</w:t>
      </w:r>
    </w:p>
    <w:p>
      <w:pPr>
        <w:spacing w:after="0" w:line="5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manufacturing success;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third-party CMO;</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risk that the CMO will cease offering the services we require or shut down operations altogether, either temporarily or permanently, due to a regulatory concern, financial insolvency, non-compliance with applicable law or another reason;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or the inability of the CMO to provide us with a manufacturing slot when we need it.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only limited supply agreements in place with respect to our product candidates and these existing arrangements do not extend to commercial supply. We acquire many key materials on a purchase order basis. As a result, we do not have long-term committed arrangements with respect to our product candidates and other materials. If we anticipate receiving or receive marketing approval for any of our product candidates, we will need to establish or have established an agreement for commercial manufacture with one or more third parties. In addition, new U.S. legislation or investigations, as well as possible sanctions, tariffs, trade restrictions and/or other foreign regulatory requirements, could serve to limit the third parties we could engage, increase the cost or reduce the supply of materials available to us, or otherwise adversely affect our business prospects, financial condition and results of operations.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manufacturers may not be able to comply with current good manufacturing practices, or cGMP, regulations or similar regulatory requirements outside of the United States. Some of our molecules are highly potent and, in the absence of additional safety data, they receive a high occupational exposure band, or OEB. These assigned OEBs dictate the containment and other precautions that must be taken as part of the manufacture of our product candidates and, for molecules with high OEB designations, serve to limit the number of CMOs who are qualified to manufacture our molecules. Our failure, or the failure of our CMOs, to comply with applicable regulations, including the ability of our CMOs to work with our highly potent materials and the safety protocols in connection therewith,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particularly, in some cases, given the potency or OEB of our compounds.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performance failure or delay in performance on the part of our existing or future manufacturers could delay clinical development or marketing authorization. While our CMOs have experienced performance issues in the past that have not ultimately delayed our clinical development efforts, in the future, we could experience a manufacturing issue that would have a material impact on development of our product candidates and the occurrence of an event of this nature would largely be outside of our control. We do not currently have arrangements in place for redundant supply or a second source for drug substance or drug product. If our current CMOs cannot perform as agreed, we may be required to replace them. While we have identified several potential alternative vendors who could manufacture some or all of our product candidates, switching vendors could result in significant additional costs and delays to our operations as we select and qualify a replacement manufacturer, we may be constrained in the vendors we can select, particularly for compounds that have high OEB designations, or we may not be able to reach agreement with an alternative manufacturer on acceptable terms. Similarly, our clinical supply partners, such as Pfizer in the case of elranatamab, may rely on a variety of third parties in connection with the manufacturing of their products. Any performance failure or delay on the part of Pfizer or any of these third parties that delays, halts, or otherwise materially impacts the availability of supply of these combination therapies could have a material impact on development of our product candidates.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currently rely on single source suppliers for a portion of our supply chain for our preclinical and clinical trial supplies. If our current or future suppliers, whether for raw materials, drug substance, or drug product, are unable to supply us with sufficient materials for our preclinical studies and clinical trials, we may experience delays in our development efforts as we locate and qualify new suppliers or manufacturers.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third-party manufacturers on whom we rely may incorporate their own proprietary processes into our product candidate manufacturing processes. We have limited control and oversight of a third party’s proprietary manufacturing processes. If a third-party manufacturer were to modify its processes, those modifications could negatively impact our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including product loss or failure that requires additional manufacturing runs or a change in manufacturer, both of which could significantly increase the cost of and significantly delay the manufacture of our product candidates.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our product candidates progress through preclinical studies and clinical trials towards approval and commercialization, we expect that various aspects of the product development and manufacturing process will evolve in an effort to optimize processes and results. Some of those product and manufacturing process changes may involve the use of third-party proprietary technology, which could then cause us to need to obtain a license from third parties. In addition, these types of changes may require that we make amendments to our regulatory applications, which could further delay the timeframes under which modified manufacturing processes can be used for any of our product candidates.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as we advance our product candidates into later stage clinical trials and plan for the potential commercialization of our product candidates, we may determine that it is necessary or appropriate to bring on additional suppliers of drug product and/or drug substance, which could result in changes to the manufacturing processes for our product candidates and may require us to provide additional information to regulatory authorities. If we were to bring on additional CMOs for our product candidates, we may also be required to demonstrate analytical comparability and/or conduct additional bridging studies or trials, all of which would require additional time and expense.</w:t>
      </w:r>
    </w:p>
    <w:p>
      <w:pPr>
        <w:spacing w:after="0" w:line="71" w:lineRule="exact"/>
        <w:rPr>
          <w:sz w:val="20"/>
          <w:szCs w:val="20"/>
          <w:color w:val="auto"/>
        </w:rPr>
      </w:pPr>
    </w:p>
    <w:p>
      <w:pPr>
        <w:jc w:val="both"/>
        <w:ind w:firstLine="8"/>
        <w:spacing w:after="0" w:line="262" w:lineRule="auto"/>
        <w:tabs>
          <w:tab w:leader="none" w:pos="154"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have existing collaborations and may enter into future collaborations, strategic alliances, or licensing arrangements with third parties for the research, development and commercialization of certain product candidates. If any of these existing or future arrangements are not successful, or if we are unable to enter into such arrangements on favorable terms or at all, we may not be able to capitalize on the market potential of those product candidates. In addition, these collaborations or other arrangements could impact our intellectual property rights and business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the following ongoing collaborations and license arrangements involving our research and development programs:</w:t>
      </w:r>
    </w:p>
    <w:p>
      <w:pPr>
        <w:spacing w:after="0" w:line="117"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2018 Roche Agreement, with collaboration activities ongoing as to two targets,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Roche Agreement, for the discovery, development and commercialization of DACs as to two initial undisclosed targets, with an option for Roche to identify a third target,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MKDG Agreement for the development and commercialization of two targeted protein degraders against critical oncogenic proteins that we had previously progressed within our internal discovery pipeline,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Betta Pharma License Agreement under which Betta Pharma received an exclusive license for the development, manufacturing and commercialization of CFT8919 in Greater China.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enter into similar collaboration, strategic alliances, joint ventures or licensing arrangements in the future with third parties that we believe will complement or augment our research, development, and commercialization efforts. However, it is possible that we will not be able to enter into such arrangements on favorable terms or at all, such that we may not be able to capitalize on the market potential of our current or future product candidates.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current collaboration agreements, we are generally responsible for developing drug candidates leveraging our TORPEDO platform based on partner-selected targets. These agreements, as well as our agreements with prior research collaboration partners, provide that our current and past collaboration partners have exclusive rights to develop degraders for their selected and reserved targets. As a result, we are not permitted to pursue a target of potential interest – either alone or with another partner – while that target is bound by these restrictions.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if our collaborations do not result in the successful development and commercialization of products or if one of our collaborators terminates its agreement with us or elects not to pursue a program within a collaboration, we may not receive any future research funding or milestone or royalty payments under that collaboration or in respect of that terminated program. In that event, we may choose to abandon the program or to advance it independently, which would require us to commit significant additional resources. Collaborators may terminate agreements (i) for convenience (generally upon 60 to 270 days’ notice), (ii) with respect to specific targets, or (iii) for uncured material breaches. Such termination could delay our development programs, make it more difficult to attract new collaborators or adversely affect our reputation in the business and financial communities. All of the risks relating to product development, marketing approval and commercialization described in this report apply to the activities of our collaborators.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collaborators may fail to adequately obtain, maintain, enforce, or defend intellectual property arising from licensed programs or may use our proprietary information in a way that could jeopardize or invalidate our proprietary information or expose us to potential litigation. Generally, our collaborators have the first right to enforce and defend certain intellectual property rights under the applicable collaboration arrangement. We may have the right to assume the enforcement and defense of these intellectual property rights if our collaborator does not, but our ability to do so may be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compromised by their actions. If any licensed program were to revert to us, our ability to protect any associated intellectual property or other proprietary rights may be impacted by the intellectual property filings made or other steps taken by our collaborator prior to the reversion. Further, our collaborators may own or co-own intellectual property covering our products that result from our collaboration and, in such cases, we would not have the exclusive right to commercialize the collaboration intellectual property.</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face significant competition in seeking appropriate strategic partners and the negotiation process for these transactions is time-consuming, complex, and expensive. Additionally, our existing partners may decide to acquire or partner with other companies developing targeted protein degraders or directed at the targets or indications to which our product candidates are directed, which may have an adverse impact on our business prospects, financial condition and results of operations.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do enter into additional collaboration agreements and strategic partnerships or further license our product candidates, we may not be able to realize the benefit of those transactions if we are unable to successfully integrate them with our existing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chemotherapy and radiation therapy, are well-established in the medical community and doctors may continue to rely on these treatments. If our product candidates do not achieve an adequate level of acceptance, we may not generate significant revenue from product sales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and the ability of governmental authorities to require that we negotiate the pricing of our products, as well as the timing of these mandatory negotiations;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treating these patients to prescribe these therapies;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we currently have no marketing and sales organization and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company, we currently have no sales, marketing, or distribution capabilities and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these types of arrangements on favorable terms or if at all, or if we are able to do so, that these third-party arrangements will provide effective sales forces or marketing and distribution capabilities. Any revenue we receive will depend upon the efforts of these third parties, which may not be successful. We may have little or no control over the marketing and sales efforts of these third parties and our revenue from product sales may be lower than if we had commercialized our product candidates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ourselves. We also face competition in our search for third parties to assist us with the sales and marketing efforts of our product candidates.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we expect that they will initially be approved only for those patients who are ineligible for other approved treatments or have failed prior treatments. In addition, our estimates of the prevalence of our target patient populations may be inaccurate.</w:t>
      </w:r>
    </w:p>
    <w:p>
      <w:pPr>
        <w:spacing w:after="0" w:line="6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Our current product candidates target cancer, but cancer therapies are sometimes characterized as first-line, second-line, third-line, or subsequent line and the FDA often approves new therapies initially only for a particular line of use. When cancer is detected early enough, first-line therapy is sometimes adequate to cure the cancer or prolong life without a cure. Whenever first-line therapy – usually chemotherapy, antibody drugs, tumor-targeted small molecules, immunotherapy, hormone therapy, radiation therapy, surgery, other targeted therapies, or a combination of these therapies – proves unsuccessful, second-line therapy may be administered. Second-line therapies often consist of more chemotherapy, radiation, antibody drugs, tumor-targeted small molecules, or a combination of these. Third-line therapies can include chemotherapy, antibody drugs and small molecule tumor-targeted therapies, more invasive forms of surgery, and new technologies. We expect initially to seek approval of our product candidates in most instances as a later-line therapy, for use in patients with relapsed or refractory cancer. Subsequently, for those product candidates that prove to be sufficiently safe and beneficial, if any, we would expect to seek approval as a second-line therapy and potentially as a first-line therapy, but there is no guarantee that any of our product candidates, even if approved as a second- or third- or subsequent line of therapy, would subsequently be approved for an earlier line of therapy. Further, it is possible that, prior to getting any approvals for our product candidates in earlier lines of treatment, we might have to conduct additional clinical trials.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reasonable beliefs and estimates. These estimates have been derived from a variety of sources, including scientific literature, surveys of clinics, patient foundations, or market research and may prove to be incorrect or out of date. Further, new therapies may change the estimated incidence or prevalence of the cancers that we are targeting. Consequently, even if our product candidates are approved for a second- or third-line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of those tumor types.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in the case of CFT8919, Betta Pharma, receive marketing approval of any of our product candidates, our products may become subject to unfavorable pricing regulations, third-party reimbursement practices, or healthcare reform initiatives, any of which would impact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or, in the case of CFT8919, Betta Pharma, might obtain marketing approval for a product candidate in a particular country, but then be subject to price regulations that delay the commercial launch of the product, possibly for lengthy time periods, which would negatively impact the revenues, if any, we are able to generate from the sale of the product in that country. Adverse pricing limitations may, therefore, hinder our ability to recoup our investment in one or more of our product candidates, even if our product candidates obtain marketing approval. See the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Healthcare Reform</w:t>
      </w:r>
      <w:r>
        <w:rPr>
          <w:rFonts w:ascii="Times New Roman" w:cs="Times New Roman" w:eastAsia="Times New Roman" w:hAnsi="Times New Roman"/>
          <w:sz w:val="18"/>
          <w:szCs w:val="18"/>
          <w:color w:val="auto"/>
        </w:rPr>
        <w:t>” in our Annual Report on Form 10-K for the year ended December 31, 2025.</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and, in the case of CFT8919, Betta Pharma's ability to commercialize any product candidates successfully also will depend in part on the extent to which coverage and adequate reimbursement for these products and related treatments will be available from government healthcare programs,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Multiple executive actions in the first half of 2025 signal the federal government’s increasing focus on lowering prescription drug prices, adding to the uncertainty surrounding future drug pricing and reimbursement frameworks. For example:</w:t>
      </w:r>
    </w:p>
    <w:p>
      <w:pPr>
        <w:spacing w:after="0" w:line="68" w:lineRule="exact"/>
        <w:rPr>
          <w:sz w:val="20"/>
          <w:szCs w:val="20"/>
          <w:color w:val="auto"/>
        </w:rPr>
      </w:pPr>
    </w:p>
    <w:p>
      <w:pPr>
        <w:jc w:val="both"/>
        <w:ind w:left="660" w:hanging="328"/>
        <w:spacing w:after="0" w:line="253"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President Trump signed the executive order titled “Delivering Most-Favored-Nation Prescription Drug Pricing,” which directs the Secretary of Health and Human Services, or HHS, to identify and communicate most-favored-nation price targets for prescription drugs and to propose a rulemaking plan to impose such pricing if “significant progress” is not made. The order also directs the federal government to explore regulatory pathways that would facilitate direct-to-patient sales for manufacturers that meet these price targets. Additionally, it signals potential further action against manufacturers that fail to offer most-favored-nation pricing, including evaluating whether to modify or rescind marketing approvals or allow individual drug importation waivers. Notably, a similar rule promulgated during President Trump’s first term would have tied Medicare Part B reimbursement rates to the lowest price available for a drug in certain foreign countries. That rule was subject to litigation and ultimately rescinded by the Biden Administration in August 2021. In a related development, FDA Commissioner Makary announced in July 2025 that the agency is considering a new fast-track priority review voucher program for manufacturers that commit to pricing drugs in line with those in economically comparable countries. The implementation timeline and commercial implications of these proposals remain uncertain.</w:t>
      </w:r>
    </w:p>
    <w:p>
      <w:pPr>
        <w:spacing w:after="0" w:line="86"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President Trump issued the executive order “Lowering Drug Prices by Once Again Putting Americans First,” which contains a broad set of directives aimed at reducing drug costs. Among other actions, the order directs HHS to revise guidance under the Inflation Reduction Act, or the IRA, to eliminate the so-called “pill penalty,” which currently subjects small molecule drugs to Medicare price negotiation four years earlier than biologics. The order also calls for a comprehensive evaluation of the role played by pharmacy benefit managers, or PBMs, in drug pricing and market access.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Medicare Drug Price Negotiation Program, administered by CMS as part of the Inflation Reduction Act of 2022, commonly referred to as the IRA, may apply to our products if they are selected for negotiation, which could materially reduce the amount of revenue we can generate from our products if they are approved. Prior to the enactment of the OBBBA, orphan drugs were exempt from Medicare price negotiation under the IRA only if they had received a single orphan designation and were approved solely for the corresponding rare disease or condition. The OBBBA amended this exemption to apply more broadly to provide that any orphan-designated drug is exempt from price negotiation, regardless of the number of orphan designations it has received, provided the drug’s approved indications are exclusively for those rare diseases.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future product candidates or business is unknown, any decrease in the number of insured patients or reimbursement levels for our products could adversely affect our potential for revenue and our commercial prospects.</w:t>
      </w:r>
    </w:p>
    <w:p>
      <w:pPr>
        <w:spacing w:after="0" w:line="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In addition, in light of the requirements of the IRA, we may be required to negotiate pricing for our product candidates, if approved, with Medicare, with those negotiated prices going into effect nine years after product approval. If coverage and adequate reimbursement are not available or reimbursement is available only to limited levels, we may not be able to successfully commercialize any product candidate for which we obtain marketing approval.</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In addition,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government healthcare programs or private payors and by any future relaxation of laws that presently restrict imports of drugs from countries where they may be sold at lower prices than in the United States.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or when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product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and/or increased product liability insurance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to support our clinical development activities. We may need to purchase additional product liability insurance coverage as we expand our clinical trials and if and when we commence commercialization of our product candidates. Insurance coverage is increasingly expensive. We may not be able to maintain insurance coverage at a reasonable cost or in an amount adequate to satisfy any liability that may arise.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product candidates, and products or if the scope of the patent protection obtained is not sufficiently broad or enforceable, our competitors could develop and commercialize technology, product candidates, and products similar or identical to ours, our ability to successfully commercialize our technology, product candidates, and products may be impaired or we may not be able to compete effectively in our market.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patents, trade secrets and confidentiality and assignment agreements to protect our intellectual property and prevent others from exploiting our platform technologies, our pipeline drug product candidates, any future drug product candidates we may develop, and their manufacture and use.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maintain and enforce patents and other proprietary protection in the United States and other countries with respect to our proprietary technology, product candidates and products. We seek to protect our proprietary position by filing patent applications in the United States and abroad related to our novel technologies and product candidates; however, any disclosure to, or misappropriation by, third parties of our confidential proprietary information could enable competitors to quickly duplicate or surpass our technological achievements, thereby eroding our competitive position.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prosecute and maintain all necessary or desirable patent applications at a reasonable cost or in a timely manner. We may fail to identify patentable aspects of our research and development output before it is too late to obtain patent protection. In addition, in some circumstances, we do not have the right to control the preparation, filing and prosecution of patent applications, or to maintain the patents and patent applications, covering technology that we license from third parties or that we license to our collaborators. Therefore, these patents and applications may not be prosecuted and enforced in a manner consistent with the best interests of our business.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patent position of the biopharmaceutical industry generally is highly uncertain, involves complex legal and factual questions and has been the subject of extensive litigation. Publications in the scientific literature often lag behind the actual discoveries, and patent applications in the United States and other jurisdictions are typically not published until 18 months after filing, or in some cases not at all. As a result, we cannot know with certainty whether we were the first to make the inventions claimed in our owned, co-owned or licensed patents or pending patent applications, or whether we were the first inventors to file for patent protection of those inventions. Accordingly, the issuance, scope, validity, enforceability and commercial value of our patent rights, or those of our collaborators, are highly uncertain. Our pending and future patent applications may not result in patents being issued that protect our technology, product candidates or products, in whole or in part, or that effectively prevent others from commercializing competitive technologies, product candidates and products. Changes in the patent laws or other laws or their interpretation in the United States and other countries may diminish the value of our patents and patent applications, narrow the scope of our patent protection, or cause us to be required to pay royalties to third parties. If the breadth or strength of protection provided by our patents and patent applications is threatened, it could dissuade companies from collaborating with us to license, develop or commercialize current or future product candidates.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owned, co-owned, and licensed patent estate consists of both patents and patent applications, which are at various stages of prosecution. Even if such patent applications issue as patents, the patents may not issue in a form that provides meaningful protection, prevents competitors from competing with us, or otherwise provides any competitive advantage. Competitors may be able to circumvent our patents by developing similar or alternative technologies, product candidates, or products in a non-infringing manner.</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co-owned and licensed patents, as well as patents obtained by our collaborators,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product candidates, or products or limit the duration of the patent protection. Given the time required for the development, testing, and regulatory review of new product candidates, patents protecting our drug product candidates or products may expire before or shortly after commercialization. As a result, our patent portfolio, or that of our collaborators, may not provide us with sufficient rights to exclude others from commercializing products similar or identical to ours.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our patents in general or increase third party challenges to our patents, thereby impairing our ability to protect our product candidates.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reform legislation and evolving jurisprudence could increase the uncertainties and costs surrounding the prosecution of our patent applications and the enforcement or defense of our issued patents. The Leahy-Smith America Invents Act, or the Leahy-Smith Act, made significant changes to U.S. patent law, including changes affecting patent prosecution and patent litigation, and the first-inventor-to-file provisions of the Leahy-Smith Act became effective on March 16, 2013. These changes require us to act promptly during the period from invention to filing of a patent application because a third party could file a patent application before us that is blocking to our patent filings. However, even with the intention to act promptly, circumstances could prevent us from promptly filing or prosecuting patent applications on our inventions. The Leahy-Smith Act also enlarged the scope of disclosures that qualify as prior art, which can impact our ability to obtain patent protection for an invention.</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Leahy-Smith Act also created new procedures under which third parties may challenge issued patents in the United States,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all of which are adversarial proceedings conducted at the USPTO. For patents with a priority date of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16, 2013 or later (which is the case for all of our patent filings), third parties may seek post-grant review during the nine-month period after issuance of the patent, and may seek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thereafter. These proceedings apply standards of review that differ from federal court litigation and can result in cancellation of some or all claims in a patent. In addition, changes in USPTO rules and court decisions, including with respect to claim construction and standards applied in these proceedings, may affect the outcomes of challenges. If any of our patents are challenged in a proceeding of this nature, we may not be successful in defending the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challenged patent, which could result in our losing rights under the challenged patent in whole or in part and could adversely affect our business, financial condition, results of operations and prospects.</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patents, the patents of our licensors or other intellectual property, or to defend against challenges, which could be expensive, time-consuming and unsuccessful.</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Competitors may infringe our issued patents, the patents of our licensors or collaborators, or our other intellectual property. To counter infringement or unauthorized use, we may be required to file infringement claims or initiate other proceedings, which can be expensive, time-consuming and unpredictable. Any claims we assert could provoke counterclaims against us alleging that we infringe third-party patents or that our patents are invalid or unenforceable.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an infringement or enforcement proceeding, a court or other tribunal may decide that a patent of ours or our licensors or collaborators is invalid or unenforceable, in whole or in part, construe the patent’s claims narrowly, or refuse to stop the other party from using the technology at issue on the grounds that our patents do not cover the technology in question. An adverse result could put one or more of our patents at risk of being invalidated, held unenforceable, or interpreted narrowly. In addition, the U.S. Supreme Court’s June 2024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decision, which overturned a long-established doctrine of courts giving deference to administrative agencies’ interpretations of statutory language and related rules and regulations, has introduced additional uncertainty regarding how courts will interpret patent statutes and regulations and evaluate USPTO regulations, policies and decisions in future litigation involving patent validity or enforceability.</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could cause us to incur significant expenses and could distract our technical and management personnel from their normal responsibilities. There may be public announcements of interim developments, and if securities analysts or investors perceive such developments to be negative, it could have a substantial adverse effect on the price of our common stock. These matters could substantially increase our operating losses and reduce the resources available for development and any future sales, marketing or distribution activities. We may not have sufficient financial or other resources to conduct such matters adequately, and some competitors may be able to sustain these costs more effectively than we can.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Even if we successfully assert our patents, a court may not award remedies that sufficiently compensate us for our losses, and we may determine that we must settle these matters on terms that are unfavorable to us. If we are unable to enforce our intellectual property rights adequately against perceived infringers, our business prospects could be materially and adversely affected.</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Third parties may hold intellectual property, including patent rights, that are important or necessary to the development, manufacture or commercialization of our product candidates, products or our collaborators’ products. In that case, we or our collaborators may need to obtain a license from the applicable third party, and such a license may not be available, or may not be available on commercially reasonable terms, which could adversely affect our business and financial condition.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competitive. Companies that are more established or have greater resources than we do may also be pursuing strategies to license or acquire third-party rights that we may consider necessary or attractive in order to commercialize our product candidates, and such companies may have a competitive advantage due to their size, cash resources or clinical development and commercialization capabilities. We may not be able to successfully complete such negotiations or acquire the rights to the intellectual property we seek.</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an adverse effect on the success of our business.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to use our proprietary technologies without infringing the proprietary rights of third parties. There is considerable intellectual property litigation in the biopharmaceutical industry, as well as administrative proceedings for challenging patents in the United States and foreign jurisdictions.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may become party to or threatened with adversarial proceedings or litigation regarding intellectual property rights with respect to our product candidates and technology, including proceedings before the USPTO (such as derivation,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and oppositions, revocations, invalidity actions and other comparable proceedings in foreign jurisdictions. Third parties may assert infringement claims against us based on existing patents or patents that may be granted in the future. Because patent applications can take many years to issue, there may be currently pending patent applications that later issue as patents that our product candidates may infringe, and we may currently be unaware of relevant third-party patents or patent applications with claims to materials,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formulations, methods of manufacture or methods for treatment related to the use or manufacture of our drug candidates. In addition, third parties may obtain patents in the future and claim that our product candidates or use of our technologies infringes upon these patents.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found by a court of competent jurisdiction to infringe a third party’s intellectual property rights, we could be required to obtain a license to continue developing and marketing our product candidates, products, or technology. We may not be able to obtain any required license on commercially reasonable terms or at all, and any license we obtain may be non-exclusive. We could be forced, including by court order, to cease commercializing the infringing technology or product and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similar negative effects.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number of other companies, as well as universities and other organizations, file and obtain patents in the same areas as our product candidates, which are TPDs, or our platform technologies, and these patent filings could be asserted against us or our collaborators in the future, which could adversely affect our business and, if successful, could lead to expensive litigation, affect the profitability of any future products and/or prohibit the sale or use of our product candidates or any future products.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MonoDAC and BiDAC product candidates are small molecule pharmaceuticals, which degrade specific proteins. A number of companies and institutions have patent applications and issued patents in this general area, including AbbVie Inc., Accutar Biotechnology, Inc., Amgen Inc., Amphista Therapeutics, Ltd., Araxes Pharma, LLC, Arvinas, Inc., Astellas Pharma Inc., AstraZeneca PLC, Aurigen Discovery Technologies, Ltd., Bayer AG (and its subsidiary Vividion Therapeutics, Inc.), BeOne Medicines USA, Inc., BioTheryX, Inc., Boehringer Ingelheim International GmbH, Bristol Myers Squibb Company (and its subsidiary Celgene Corporation), Captor Therapeutics Inc., Cullgen Inc., the Dana-Farber Cancer Institute and its Center for Protein Degradation, Dialectic Therapeutics, Inc., Foghorn Therapeutics, Inc., Frontier Medicines Corporation, GlaxoSmithKline PLC, Genentech, Inc., Glubio Therapeutics, Inc., Halda Therapeutics OpCo, Inc., Hinova Pharmaceuticals, Inc., Janssen Biotech, Inc., Kymera Therapeutics, Inc., Monte Rosa Therapeutics, Inc., Novartis International AG, Nurix Therapeutics, Inc., Orum Therapeutics, Inc., Otsuka Pharmaceuticals, Inc., Pfizer Inc., PhoreMost, Ltd., Plexium, Inc., Prelude Therapeutics, Inc., Roche AG, Salarius Pharmaceuticals Inc., Salarius Pharmaceuticals, Inc., Seed Therapeutics, Inc., Sichuan Haisco Pharmaceutical Co., Ltd., SK Life Science Labs, Inc. (a subsidiary of SK Biopharmaceuticals Co., Ltd)., the University of Michigan School of Medicine, Vertex Pharmaceuticals, Inc., Vicinitas Therapeutics, Inc., and others. If any such third party were to assert that its patents are infringed by any product candidate or potential future product we may develop, or by their manufacture or use, we or our collaborators may be drawn into expensive and time-consuming litigation, which could adversely affect our business prospects, financial condition and results of operations, and distract members of our management team and employees at large. Further, if litigation of this nature were successful, it could have a material and adverse effect on the profitability of our potential future products or prohibit their sale.</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may not be aware of patent claims that are currently pending or may be filed in the future that could affect our business or product candidates. Patent applications are typically published between six and 18 months from filing and new claims can sometimes be presented in already pending applications without being visible to the public for a period of time. As a result, we cannot provide any assurance that a third party will not present or has not presented a patent claim that covers one or more of our product candidates or their methods of use or manufacture. If that were to occur and as we have done in certain past circumstances, we or our collaborators, as applicable, may need to take steps to invalidate, narrow or avoid the applicable patent or application, including through third-party submissions, oppositions,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or litigation or declaratory judgment actions before a court. We or our collaborators may choose not to pursue such steps, or our attempt may not be successful. If we determine that we require a license to a third party’s patent or patent application, we may discover that a license is not available on reasonable terms, or at all, which could prevent us or our collaborators from developing, manufacturing or commercializing affected potential future products or using our proprietary technologies.</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will be subject to The Drug Price Competition and Patent Term Restoration Act of 1984, which is also referred to as the Hatch-Waxman Act, in the United States, which can increase the risk of litigation with generic companies trying to sell our potential future products and may cause us to lose patent protection and could adversely affect the exclusivity of any approved products.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our clinical candidates are pharmaceutical molecules that will be reviewed by the FDA's Center for Drug Evaluation and Research, if and when approved, they will be subject in the United States to the patent listing and litigation framework of the Hatch-Waxman Act, as amended to date, which allows a generic company to submit an Abbreviated New Drug Application, or ANDA, to the FDA to obtain approval to sell a generic version of our drug using bioequivalence data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only. Under the Hatch-Waxman Act, we will list patents that cover our drug products, if approved, or their respective approved methods of use in the FDA’s compendium of “Approved Drug Products with Therapeutic Equivalence Evaluation,” sometimes referred to as the Orange Book.</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detailed rules and requirements regarding which patents may be listed in the Orange Book, and we may be unable to obtain patents that satisfy the requirements. Even if we submit a patent for listing, the FDA may decline to list it, or a generic drug manufacturer, the U.S. Federal Trade Commission or another entity may challenge the listing. If one of our product candidates is approved and a patent covering that product candidate is not listed in the Orange Book, a generic drug manufacturer may be able to seek approval without needing to provide advance notice to us with respect to any unlisted patent in connection with any ANDA filed with the FDA to obtain permission to sell a generic version of that product candidate.</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 FDA may grant five years of data exclusivity for new chemical entities, or NCEs, which are drugs that contain no active portion that has been approved by the FDA in any other new drug application, or NDA. We expect that all of our potential future products will qualify as NCEs; however, the FDA will not conduct an assessment for NCE status until it is reviewing a marketing application for that drug. A generic company can submit an ANDA to the FDA four years after approval of any of our drug products designated as an NCE. An ANDA filing is considered a technical act of patent infringement and can include certifications that the company will wait until the natural expiration date of our Orange Book listed patents to sell a generic version of our product or that one or more of our listed patents are invalid, unenforceable or not infringed. If the generic manufacturer elects the latter, we will have 45 days to bring a patent infringement lawsuit against the generic company. Such litigation is costly, time-consuming, and uncertain, may involve multiple generic challengers, and could result in earlier generic entry, loss of exclusivity, or outcomes that adversely affect the strength, validity or enforceability of our patents. We may also determine that it is necessary to settle these types of lawsuits in a manner that allows the generic company to enter our market prior to the expiration of our patents or otherwise in a manner that may have similar adverse effects on our patents.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Pharmaceutical companies are subject to intense review by the U.S. Federal Trade Commission and comparable agencies in other countries regarding how they conduct or settle patent litigation, and we may face similar scrutiny that could result in fines, penalties or loss of rights.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Trade Commission, or FTC, has filed lawsuits in federal court to challenge ANDA litigation settlements between innovator and generic companies as anti-competitive. The FTC has taken the position that transfers of value in connection with a settlement, whether monetary or not monetary, may constitute an improper "reverse payment" in some circumstances, including agreements relating to the timing of an authorized generic launch.</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2013, the U.S. Supreme Court's in </w:t>
      </w:r>
      <w:r>
        <w:rPr>
          <w:rFonts w:ascii="Times New Roman" w:cs="Times New Roman" w:eastAsia="Times New Roman" w:hAnsi="Times New Roman"/>
          <w:sz w:val="18"/>
          <w:szCs w:val="18"/>
          <w:i w:val="1"/>
          <w:iCs w:val="1"/>
          <w:color w:val="auto"/>
        </w:rPr>
        <w:t>FTC v. Actavis, Inc.</w:t>
      </w:r>
      <w:r>
        <w:rPr>
          <w:rFonts w:ascii="Times New Roman" w:cs="Times New Roman" w:eastAsia="Times New Roman" w:hAnsi="Times New Roman"/>
          <w:sz w:val="18"/>
          <w:szCs w:val="18"/>
          <w:color w:val="auto"/>
        </w:rPr>
        <w:t xml:space="preserve"> held that certain reverse payment settlements can potentially violate antitrust laws and are subject to the standard antitrust rule-of-reason analysis, with the burden of proving that an agreement is unlawful on the FTC. The Supreme Court identified considerations relevant to that analysis, including potential adverse effects on competition, the justification for any payment or transfer of value, the patentee's ability to bring about anti-competitive harm, whether the size of any payment may serve as a surrogate for the patent's weakness, and whether antitrust scrutiny would unduly discourage settlement.</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face drug patent litigation, including Hatch-Waxman litigation, the FTC or other regulators may challenge our conduct or any settlement, which could affect if and how we resolve disputes and could result in significant expense, penalties or other adverse outcomes. In addition, settlements could also be challenged by third-party payors such as insurance companies, direct purchasers or others who consider themselves adversely affected by a settlement through follow-on litigation, including class actions, which can be expensive and protracted. If we were to face lawsuits of this nature, we may not be successful in defeating these claims and we may, therefore, be subject to substantial payment obligations, which we may not be able to satisfy in whole or in part.</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patent term extension under the Drug Price Competition and Patent Term Restoration Act of 1984 in the United States and, as a result, our product candidates, if approved, may not have patent protection for a sufficient period.</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one patent term extension of up to five years beyond the normal expiration of one patent per product, which if related to a method of treatment patent, is limited to the approved indication. The extension is typically calculated based on the clinical trial and FDA review periods, subject to statutory limits, including a cap such that the extended term generally may not exceed fourteen years from the date of drug approval.</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receive the full benefit of a possible patent term extension, or any extension at all, for reasons including selection of an ineligible patent, failure to apply within the required time periods, failure to apply prior to patent expiration or other failure to satisfy any other requirements. In addition, the FDA and the USPTO may not agree with our assessment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eligibility or the length of any extension and may refuse to grant, or may grant a more limited extension than, what we requested. If this occurs, competitors may be able to obtain approval of competing products following patent expiration and may launch their product earlier than might otherwise be the case, which could adversely affect our ability to generate product revenue.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European Union, supplementary protection certificates may be available to extend a patent term by up to five years to compensate for time lost during regulatory review, and this period may be extended to five and a half years if certain pediatric clinical data requirements are met. These certificates are currently granted by the national patent offices on a country-by-country basis, which can require significant resources and may result in certificates being granted in some, but not all, countries, or not at all.</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Weakening patent laws and enforcement by courts in the United States and changes in the legal landscape may impact our ability to protect our markets.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Supreme Court has issued opinions in patent cases in recent years that many consider may weaken patent protection in the United States, including by narrowing the scope of patent protection available in certain circumstances, limiting patentable subject matter, or otherwise making it easier to invalidate patents in court. In addition, there have been proposals for additional changes to United States and foreign patent laws that, if adopted, could impact our ability to obtain patent protection for our proprietary technology, product candidates or future products or to enforce our patents. Depending on future actions by the U.S. Congress, the U.S. courts, the USPTO and law-making bodies in other countries, the laws and regulations governing patents could change in unpredictable ways that may weaken our ability to obtain new patents or enforce our existing patents and patents that we might obtain in the future.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enforcement and validity challenges in foreign jurisdictions can present additional uncertainty, difficulties and cost. If we encounter such difficulties in protecting or are otherwise precluded from effectively protecting our intellectual property rights in foreign jurisdictions, our business prospects could be substantially harmed. For example, we could become a party to foreign opposition proceedings, such as at the European Patent Office, or patent litigation and other proceedings in a foreign court. If so, uncertainties resulting from the initiation and continuation of such proceedings could have an adverse effect on our ability to compete in the marketplace. The cost of foreign adversarial proceedings can also be substantial, and in many foreign jurisdictions, the losing party must pay the attorney fees of the winning party.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our employees, consultants or contractors have misappropriated third party’s intellectual property or claiming ownership of what we regard as our own intellectual property.</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and at other biotechnology or pharmaceutical companies, including competitors or potential competitors. We have also received confidential and proprietary information from collaborators, prospective licensees, and other third parties that may be subject to contractual confidentiality and non-use obligations. Although we attempt to ensure that our employees do not use the proprietary information or know-how of others in their work for us, we may be subject to claims that we or these employees have used or disclosed trade secrets or other proprietary information of a former employer or other third party, or that former employers or other third parties have an ownership interest in our patents.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We may not be successful in defending these claims, and if we fail, we could be required to pay monetary damages, and could lose valuable intellectual property rights, such as exclusive ownership of, or the right to use valuable intellectual property. Even if we are successful, litigation could be costly, could cause reputational harm and could be a distraction to our management and other employees.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involved in developing intellectual property to execute agreements assigning any resulting intellectual property to us, we may be unsuccessful in executing such an agreement with each party who develops intellectual property that we regard as our own. Assignment agreements may not be self-executing or may be breached, and we may be forced to bring or defend claims to determine ownership of what we regard as our intellectual property. An employee or contractor could also create an invention but not inform us of it, in which case we could lose the benefit of the invention and that person could leave to develop the invention elsewhere.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documentary, fee payment, and other requirements imposed by governmental patent offices, and the protection of our patents could be reduced or eliminated if we fail to comply with these requirements.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 maintenance fees on issued patents are due to be paid to the USPTO and annuity fees are due to be paid to foreign patent offices at various times over the life of a patent application and any resulting patent. Patent offices also impose numerous procedural, documentary, fee payment, and other requirements during patent prosecution. While inadvertent lapse can sometimes be cured by payment of late fees or other measures under applicable rules, there are situations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noncompliance can result in abandonment or lapse of the patent or patent application, resulting in partial or complete loss of a patent or patent rights in a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experience abandonment or lapse, competitors may be able to enter the market, which would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patents, we rely on trade secrets, including unpatented know-how, technology, and other proprietary information, to maintain our competitive position. We seek to protect these trade secrets, in part, through non-disclosure, confidentiality and assignment agreements with parties who have access to them, such as our employees, corporate and scientific collaborators, contract manufacturers, consultants, advisors and other third parties.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agreements may not effectively prevent disclosure of confidential information, may not result in effective assignment of intellectual property to us, and may not provide an adequate remedy in the event of unauthorized disclosure or other breaches of the agreements. In addition, others may independently discover our trade secrets and proprietary information, in which case we would not be able to assert trade secret rights against that third party.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Despite our efforts, parties with access to our proprietary information, including our trade secrets, may breach their agreements and disclose or misappropriate our trade secrets, and we may not be able to obtain adequate remedies for such breaches. Enforcing trade secret claims is difficult, expensive and time-consuming, and the outcome is unpredictable. Some courts outside the United States are less willing or unwilling to protect trade secrets. If any of our trade secrets are lawfully obtained or independently developed by competitors, we would have no right to prevent their use, and our competitive position could be harmed.</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only have limited geographical protection with respect to certain of our patents and we may not be able to protect our intellectual property rights throughout the world.</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Filing, prosecuting, maintaining and defending patents covering our product candidates in all countries throughout the world would be prohibitively expensive. As a result, our intellectual property rights in some countries may be less extensive than the protection we might have in the United States. In-licensing patents covering our product candidates in all countries throughout the world may similarly be prohibitively expensive or unavailable. Even in jurisdictions in which we develop or commercialize our product candidates, it may be prohibitively expensive or impractical to obtain and maintain broad patent protection.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Competitors may use our and our licensors’ technologies in jurisdictions where we have not obtained patent protection or licensed patents to develop their own products and may export otherwise infringing products to territories where we or our licensors have patent protection but where enforcement is less effective than in the United States or the European Union. These products may compete with our product candidates, and our or our licensors’ patents or other intellectual property rights may not be effective or sufficient to prevent them from competing.</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decide to abandon certain national and regional patent applications while they are still pending. The grant proceeding of each national or regional patent is an independent proceeding that may lead to situations in which applications may be rejected by the relevant patent office, while substantively similar applications are granted by others. For example, relative to other countries, China has a heightened detailed description requirement for patentability. Further,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potential future products. It is also quite common that depending on the country, the scope of patent protection may vary for the same product candidate or technology.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regulations in the United States and the European Union, and many companies have encountered significant difficulties in protecting and defending proprietary rights in such jurisdictions. Legal systems in certain countries may not favor enforcement of patents, trade secrets or other forms of intellectual property. We could become a party to foreign opposition proceedings (such as at the European Patent Office) or patent litigation and other proceedings in foreign courts, which can be lengthy and costly; in many jurisdictions, the losing party may be required to pay the winning party's attorneys' fees.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attention from other aspects of our business, and could additionally put our or our licensors’ patents at risk of being invalidated or interpreted narrowly, could increase the risk of our or our licensors’ patent applications not issuing or could provoke third parties to assert claims against us. We may not prevail in any lawsuits or proceedings, and damages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remedies may be awarded to the adverse party, which may be commercially significant. If we prevail,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Further,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these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in those jurisdictions.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compulsory licensing laws may compel patent owners to grant licenses to third parties, and in some countries limit the enforceability of patents against government agencies or government contractors. In such countries, patent owners may have limited remedies, which could materially diminish the value of the affected patents. If we or our licensors are forced to grant licenses to third parties under patents relevant to our business, or are prevented from enforcing patent rights, our competitive position in those jurisdictions could be substantially impaired.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Receiving regulatory approval from the FDA and foreign regulatory authorities is lengthy, time-consuming and inherently unpredictable and, if we are ultimately unable to obtain marketing approval for our product candidates, our business will be substantially harmed.</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time required to obtain approval by the FDA and foreign regulatory authorities is unpredictable but typically takes many years following the commencement of clinical trials and depends upon numerous factors, including the substantial discretion of the regulatory authorities. In addition, approval standards, regulations or the type and amount of clinical data necessary to gain approval may change during the course of a product candidate’s clinical development and may vary among jurisdictions. We have not obtained marketing approval for any product candidate, and it is possible that none of our existing product candidates, or any product candidates we may seek to develop in the future (independently or with one of our collaboration partners), will ever obtain marketing approval.</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or retain marketing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health authority that a product candidate is safe and effective for its proposed indication, or that it is of sufficient strength, identity, or quality in accordance with the health authority's standards;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may not meet the level of statistical significance required by the health authority for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authority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312" w:lineRule="auto"/>
        <w:tabs>
          <w:tab w:leader="none" w:pos="6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collected from clinical trials of our product candidates may not have sufficient validity or quality to support the submission of an NDA to the FDA or other submission to a foreign regulatory authority or to obtain marketing approval in the United States or any other country or jurisdiction;</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authority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standards, policies, or regulations of a health authority may significantly change in a manner rendering our clinical data insufficient for approval.</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lengthy drug development process, as well as the unpredictability of future clinical trial results, may result in our failing to obtain regulatory approval to allow us to market any of our product candidates, which would significantly harm our business, results of operations, and prospects. The FDA and other health authorities have substantial discretion in the approval process and determining when or whether regulatory approval will be obtained for any of our product candidates, including in the context of accelerated approvals. Even if we believe the data collected from clinical trials of our product candidates are promising, that data may not be sufficient to support approval by the FDA or any other health authority.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as a company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FDA and comparable foreign regulatory authorities may impose additional requirements or limitations based on information we submit, such as requiring us to conduct post-approval studies in special populations that are difficult to conduct or complete. We will also be subject to continued compliance with cGMP and GCP requirements for any clinical trials that we conduct post-approval.</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As such, we and our CMOs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CMOs or manufacturing processes, or failure to comply with regulatory requirements, may result in revisions to the approved labeling to add new safety information; imposition of post-market studies or clinical trials to assess new safety risks;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imposition of distribution restrictions or other restrictions under a REMS program. Other potential consequences include, among other things:</w:t>
      </w:r>
    </w:p>
    <w:p>
      <w:pPr>
        <w:spacing w:after="0" w:line="117"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some or all of our current and future product candidates, including cemsidomide.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a designation. In any event, although Breakthrough Therapy designation is designed to expedite the development and review of drugs that receive such designation,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of a product candidate. In addition, even if one or more of our product candidates qualify as Breakthrough Therapies, the FDA may later decide that the product no longer meets the conditions for qualification. Thus, even though we intend to seek Breakthrough Therapy designation for our lead product candidates and some or all of our future product candidates for the treatment of various cancers, there can be no assurance that we will receive Breakthrough Therapy designations.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even if granted for one or all of our lead product candidates, or any of our other current or future product candidates, may not lead to a faster development or regulatory review or approval process, and does not increase the likelihood that our product candidates will receive marketing approval.</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various times, we may seek Fast Track designation for one or more of our product candidates. If a drug is intended for the treatment of a serious or life-threatening condition and the drug demonstrates the potential to address unmet medical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needs for this condition, the drug sponsor may apply for FDA Fast Track designation for a particular indication. We may seek Fast Track designation for one or all of our lead product candidates and/or certain of our future product candidates, but there is no assurance that the FDA will grant this status to any of our proposed product candidates and we might only be successful in receiving a Fast Track designation from the FDA for a product candidate after applying on more than one occasion. Marketing applications filed by sponsors of products in Fast Track development may qualify for priority review under the policies and procedures offered by the FDA, but the receipt of a Fast Track designation does not assure any such qualification or ultimate marketing approval by the FDA. The FDA has broad discretion whether or not to grant a Fast Track designation, so even if we believe a particular product candidate is eligible for this designation, there can be no assurance that the FDA would decide to grant it. Even if we do receive a Fast Track designation, and even though Fast Track designation is designed to expedite the development and review of drugs that receive such designation, we may not experience a faster development process, review or approval compared to conventional FDA procedures, and receiving a Fast Track designation does not provide assurance of ultimate FDA approval. In addition, the FDA may withdraw a Fast Track designation if it believes that the designation is no longer supported by data from our clinical development program. In addition, the FDA may withdraw any Fast Track designation at any time.</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Drug Designation for cemsidomide for the treatment of MM and, if we decide to seek Orphan Drug Designation for any other current or future product candidates, we may be unsuccessful or may be unable to maintain the benefits associated with Orphan Drug Designation, including the potential for supplemental market exclusivity.</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2021, the FDA granted Orphan Drug Designation to cemsidomide for the treatment of MM. We may seek Orphan Drug Designation for one or more of our other current or future product candidates. Regulatory authorities in some jurisdictions, including the United States and the European Union, may designate drugs for relatively small patient populations as orphan drugs. Under the Orphan Drug Act, the FDA may grant an Orphan Drug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receipt of an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Although Orphan Drug Designation is intended to incent drug development for rare diseases or conditions, Orphan Drug Designation does not convey any advantage in, or shorten the duration of, the regulatory review and approval process. In addition, while receipt of Orphan Drug Designation may result in a waiver of any obligation by the FDA to conduct studies in pediatric populations, such waiver may not apply to oncology drugs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product that has an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drug for the same approved use or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drug exclusivity, the FDA can still approve other drugs that have a different active ingredient for use in treating the same approved use or indication. Further, the FDA can waive orphan drug exclusivity if we are unable to manufacture sufficient supply of our product.</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also seek Orphan Drug Designations for some or all of our other current or future product candidates in additional orphan indications in which there is a medically plausible basis for the use of these product candidates. Even when we obtain an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even if we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FDCA and its orphan drug regulations, in a way that limits or blocks our ability to obtain an Orphan Drug Designation or orphan drug exclusivity, if our product candidates are approved, for our targeted indications.</w:t>
      </w:r>
    </w:p>
    <w:p>
      <w:pPr>
        <w:spacing w:after="0" w:line="80" w:lineRule="exact"/>
        <w:rPr>
          <w:sz w:val="20"/>
          <w:szCs w:val="20"/>
          <w:color w:val="auto"/>
        </w:rPr>
      </w:pPr>
    </w:p>
    <w:p>
      <w:pPr>
        <w:jc w:val="both"/>
        <w:ind w:firstLine="8"/>
        <w:spacing w:after="0" w:line="268" w:lineRule="auto"/>
        <w:tabs>
          <w:tab w:leader="none" w:pos="144"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may seek approval of our product candidates, where applicable, under the FDA’s accelerated approval pathway. This pathway may not lead to a faster development or regulatory review or approval process and it does not increase the likelihood that our product candidates will receive marketing approval. Further, reliance on a single-arm clinical trial for a product candidate may be insufficient to obtain accelerated approval.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seek accelerated approval of our lead product candidate, cemsidomide, and may seek approval of future product candidates, where applicable, using the FDA’s accelerated approval pathway. A product may be eligible for accelerated approval if it treats a serious or life-threatening condition and generally provides a meaningful advantage over available therapies at the time of submission.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w:t>
      </w:r>
    </w:p>
    <w:p>
      <w:pPr>
        <w:spacing w:after="0" w:line="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Under the Food and Drug Omnibus Reform Act, commonly referred to as FDORA, the FDA is permitted to require that a post-approval confirmatory study or studies be underway prior to approval or within a specified time period after the date accelerated approval is granted. FDORA also requires sponsors to send updates to the FDA every 180 days on the status of these studies, including progress towards enrollment targets, and the FDA must promptly post this information publicly. FDORA also gives the FDA increased authority to withdraw accelerated approval on an expedited basis if the sponsor fails to conduct such activities in a timely manner, send the necessary updates to the FDA, or if such post-approval studies fail to verify the drug's predicted clinical benefit; and to take action, such as issuing fines, against companies that fail to conduct with due diligence any post-approval confirmatory study or submit timely reports to the agency on their progress. More recently, FDA has issued draft guidance describing how it will interpret whether a confirmatory trial is “underway” for accelerated approval purposes, including factors it intends to consider in assessing whether a confirmatory trial is sufficiently underway.</w:t>
      </w:r>
    </w:p>
    <w:p>
      <w:pPr>
        <w:spacing w:after="0" w:line="64"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Our clinical development strategy for certain product candidates, including cemsidomide, may contemplate, in whole or in part, the generation of efficacy and safety data from a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clinical trial, including a trial designed to evaluate intermediate or surrogate endpoints (such as objective response rate) that may be used in support of accelerated approval. The FDA has stated—consistent with its draft guidance for oncology accelerated approvals—that a randomized controlled trial, or RCT, is often the preferred approach because it provides a more robust efficacy and safety assessment and allows direct comparison to available therapy. While single-arm trials may be used to support accelerated approval, FDA has identified limitations of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designs, including small safety databases, difficulty relying on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trial historical comparisons, and challenges demonstrating the differential “contribution of effect” for each component of combination regimens.</w:t>
      </w:r>
    </w:p>
    <w:p>
      <w:pPr>
        <w:spacing w:after="0" w:line="52"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If FDA determines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trial(s) do not support accelerated approval or are otherwise inadequate, this could delay or prevent approval, reduce the commercial opportunity, require additional financing, or lead to a decision to discontinue development. If accelerated approval is granted, failure to complete confirmatory trials on required timelines, or failure of confirmatory trials to verify clinical benefit, could result in labeling restrictions,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requirements, reputational harm, or withdrawal of approval. In addition, receiving accelerated approval does not assure the product’s accelerated approval will eventually be converted to a traditional approval. Any of these circumstances could materially and adversely affect our business, results of operations, and prospects.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FDA may identify in a written request that pediatric information would be beneficial for a product candidate for which we obtained approval and request that we conduct pediatric studies. We may elect not to perform these studies or, if we opted to conduct these studies, we may not be able to complete them or the data generated from these studies may not be acceptable to the FDA.</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505A of the FDCA provides incentives to drug manufacturers who conduct studies of drugs in children. Referred to as the “pediatric exclusivity provision,” this law provides an additional six months of non-patent exclusivity to pharmaceutical manufacturers that conduct acceptable pediatric studies of new and currently-marketed drug products for which pediatric data would be beneficial pursuant to a written request by the FDA. As a result, if we received a written request for pediatric studies from the FDA, conducted pediatric clinical studies and submitted reports that were accepted by the FDA within the statutory time limits, we could receive an additional six months of regulatory exclusivity beyond all other types of patent and non-patent exclusivity then in effect for all our approved drug products that contain the active moiety for which pediatric exclusivity was granted. However, even if we received a written request for pediatric studies from the FDA for one or more of our drug products, we may determine not to or be unable to carry out pediatric studies that comply with Section 505A of the FDCA, or we may carry out studies that are not accepted by the FDA for this purpose. If such situations were to arise, we would not receive this six-month regulatory exclusivity extension.</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products can be affected by a variety of factors, including government budget and funding levels, ability to hire and retain key personnel and accept the payment of user fees,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 changes in leadership and shifting policy priorities as a result of changes in the presidential administration and its appointees tasked to oversee the agency, and statutory, regulatory, and policy changes. Average review times at the agency have fluctuated as a result of these factors. In addition, government funding of the SEC, and other government agencies on which our operations may rely is subject to the impacts of political events, which are inherently fluid and unpredictable. For example, the U.S. government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Disruptions and personnel turnover, as a result of leadership changes, staff reductions or otherwise, at the FDA and other agencies, including as a result of government shutdowns, such as the one that occurred most recently in October 2025, workforce furloughs, reductions in force and significant organizational changes, may slow the time necessary for review and approval (including any applications we may file with respect to our current and future product candidates), which could adversely affect our business. 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These funding and staffing changes at the FDA, SEC or other regulatory agencies may delay review of our submissions or public filings, which in turn could negatively impact our business or operations.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and third-party payors are or will be subject, directly or indirectly, to foreign, federal and state healthcare fraud and abuse laws, false claims laws, health information privacy and security laws, and other healthcare laws and regulations. If we are unable to comply or have not fully complied with these laws, we could face substantial penalties.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that may constrain the business or financial arrangements and relationships through which we research, sell, market and distribute our product candidates, if we obtain marketing approval. In particular, the research of our product candidates, as well as the promotion, sales and marketing of healthcare items and services, as well as certain business arrangements in the healthcare industry, are subject to extensive laws designed to: (i) prevent fraud, kickbacks, self-dealing and other abusive practices, (ii) guarantee the security and privacy of health information, and (iii) increase transparency around the financial relationships between physicians, teaching hospitals and manufacturers of drugs, medical devices and biologics. These laws and regulations may restrict or prohibit a wide range of pricing, discounting, marketing and promotion, structuring and commission(s), certain customer incentive programs and other business or financial arrangements. See the sections entitled “</w:t>
      </w:r>
      <w:r>
        <w:rPr>
          <w:rFonts w:ascii="Times New Roman" w:cs="Times New Roman" w:eastAsia="Times New Roman" w:hAnsi="Times New Roman"/>
          <w:sz w:val="18"/>
          <w:szCs w:val="18"/>
          <w:i w:val="1"/>
          <w:iCs w:val="1"/>
          <w:color w:val="auto"/>
        </w:rPr>
        <w:t>Business — Other Healthcare Laws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 Healthcare Reform</w:t>
      </w:r>
      <w:r>
        <w:rPr>
          <w:rFonts w:ascii="Times New Roman" w:cs="Times New Roman" w:eastAsia="Times New Roman" w:hAnsi="Times New Roman"/>
          <w:sz w:val="18"/>
          <w:szCs w:val="18"/>
          <w:color w:val="auto"/>
        </w:rPr>
        <w:t>” in our Annual Report on Form 10-K for the year ended December 31, 2025.</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Ensuring that our business arrangements and practices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physicians or other providers or entities with whom we expect to do business are found not to comply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Litigation or proceedings of this nature could substantially increase our operating losses and reduce the resources available for development, manufacturing, sales, marketing or distribution activities. Uncertainties resulting from the initiation and continuation of litigation or other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relating to applicable healthcare laws and regulations could have an adverse effect on our ability to compete in the marketplace.</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in the United States and abroad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or TRICARE in the United States), managed care providers, private health insurers, health maintenance organizations and other organizations is essential for most patients to be able to afford medical services and pharmaceutical products such as our product candidates. Third-party payors decide which medications they will pay for and establish reimbursement levels. See the section entitled “</w:t>
      </w:r>
      <w:r>
        <w:rPr>
          <w:rFonts w:ascii="Times New Roman" w:cs="Times New Roman" w:eastAsia="Times New Roman" w:hAnsi="Times New Roman"/>
          <w:sz w:val="18"/>
          <w:szCs w:val="18"/>
          <w:i w:val="1"/>
          <w:iCs w:val="1"/>
          <w:color w:val="auto"/>
        </w:rPr>
        <w:t>Business — Coverage and Reimbursement</w:t>
      </w:r>
      <w:r>
        <w:rPr>
          <w:rFonts w:ascii="Times New Roman" w:cs="Times New Roman" w:eastAsia="Times New Roman" w:hAnsi="Times New Roman"/>
          <w:sz w:val="18"/>
          <w:szCs w:val="18"/>
          <w:color w:val="auto"/>
        </w:rPr>
        <w:t>” in our Annual Report on Form 10-K for the year ended December 31, 2025.</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A decision by a third-party payor not to cover or not to separately reimburse for our medical products or therapies using our products could reduce physician utilization of our products once approved.</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sure that coverage and reimbursement in the United States and other countries will be available for our current or future product candidates or for any procedures using our current or future product candidates, and any reimbursement that may become available may not be adequate or may be decreased or eliminated in the future.</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The principal decisions about reimbursement for new medicines in the United States are typically made by the Centers for Medicare &amp; Medicaid Services, or CMS, an agency within HHS. CMS will decide whether and to what extent our products will be covered and reimbursed under Medicare and private payors tend to follow CMS to a substantial degree. Factors considered by payors in determining reimbursement are based on whether the product is:</w:t>
      </w:r>
    </w:p>
    <w:p>
      <w:pPr>
        <w:spacing w:after="0" w:line="84"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or accurately estimate the potential revenue from our product candidates or assure that coverage and reimbursement will be available for any product that we may develop.</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increasing efforts by third-party payors in the United States and abroad to cap or reduce healthcare costs may cause payor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Lastly, in some foreign countries, the proposed pricing for a drug must be approved before it may be lawfully marketed. The requirements governing drug pricing vary widely from country to country. For example, EU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Approaches between EU Member States are diverging. For example, in France, effective market access will be supported by agreements with hospitals and products may be reimbursed by the French social security system. The price of medicines is negotiated with the Economic Committee for Health Products.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in the European Union tend to be significantly lower than prices in the United States.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section entitled “</w:t>
      </w:r>
      <w:r>
        <w:rPr>
          <w:rFonts w:ascii="Times New Roman" w:cs="Times New Roman" w:eastAsia="Times New Roman" w:hAnsi="Times New Roman"/>
          <w:sz w:val="18"/>
          <w:szCs w:val="18"/>
          <w:i w:val="1"/>
          <w:iCs w:val="1"/>
          <w:color w:val="auto"/>
        </w:rPr>
        <w:t>Business — Government Regulation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Reform</w:t>
      </w:r>
      <w:r>
        <w:rPr>
          <w:rFonts w:ascii="Times New Roman" w:cs="Times New Roman" w:eastAsia="Times New Roman" w:hAnsi="Times New Roman"/>
          <w:sz w:val="18"/>
          <w:szCs w:val="18"/>
          <w:color w:val="auto"/>
        </w:rPr>
        <w:t>” in our Annual Report on Form 10-K for the year ended December 31, 2025.</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extent to which state and federal governments cover particular healthcare products and services, and could limit the amounts that the federal and state governments will pay for healthcare products and services, or cause us to need to identify or engage alternate service providers. This could result in reduced demand for any product candidate we develop, additional pricing pressures, delayed or limited supply of materials needed for our research or development activities, or other adverse effects to our financial condition and business prospects.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or any other jurisdiction.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these third parties are not able to maintain regulatory compliance, our product candidates may lose any regulatory approval that may have been obtained and we may not achieve or sustain profitability.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potential liability under applicable privacy and data protection laws, rules, regulations, or standards or contractual obligations in the United States, the European Union, the United Kingdom, or other jurisdictions with respect to our processing of personal information, including patient health information from clinical trials sponsored by us and compliance with these evolving requirements could require significant resources and adversely affect our business.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healthcare providers in the U.S., including research institutions from which we may obtain patient health information, are subject to privacy and security regulations promulgated under the Health Insurance Portability and Accountability Act of 1996, or HIPAA, as amended by the Health Information Technology for Economic and Clinical Health Act. We could be subject to civil, criminal, and administrative penalties if we obtain, use, or disclose individually identifiable health information maintained by a HIPAA-covered entity in a manner not authorized or permitted by HIPAA. We may also be subject to state laws requiring notification of affected individuals and state regulators in the event of a breach of personal information, which is broader than the health information protected by HIPAA. Failing to keep personal information secure may lead to claims or liability under HIPAA, other applicable laws, or our contracts with HIPAA-covered entities and may constitute unfair acts or practices in or affecting commerce in violation of Section 5(a) of the Federal Trade Commission Act, or the FTC Act. The FTC’s guidance for securing consumers’ personal information is similar to what is required by HIPAA, but this guidance may change in the future, resulting in increased complexity and the need to expend additional resources to ensure compliance.</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more than 20 states have passed or proposed broad comprehensive privacy laws, which are similar but may differ in material ways, and may require additional investment in compliance programs, impact data collection strategies and the availability of previously useful data and potentially increasing compliance costs or require changes in business practices and policies.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 federal government and several states have restricted data transactions involving countries outside of the U.S. For example, the Department of Justice’s January 8, 2025, Rule on Preventing Access to U.S. Sensitive Personal Data and Government-Related Data by Countries of Concern or Covered Persons prohibits transfers of certain data, including health data, genetic data, and biospecimens to countries of concern, including China. The rule also prohibits covered businesses from engaging in certain investment agreements, employment agreements or vendor agreements involving such data and countries of concern, absent specified cybersecurity controls. Violations of these laws and regulations may be punishable by criminal or civil sanctions, result in exclusion from participation in federal and state programs or restrict our ability to use certain vendors, sites, investigators, or service providers in global clinical trials.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Outside of the United States, we face stringent privacy and data protection laws. The European Economic Area, or EEA, adopted the European Union General Data Protection Regulation, or EU GDPR, and the EU GDPR, as transposed into the laws of the United Kingdom, the UK GDPR, collectively referred to as the GDPR. The GDPR imposes stringent data protection compliance requirements on controllers and processors of personal data of subjects located in the EEA and UK, including special protections for health, biometric, and genetic information and provides for significant penalties for noncompliance. Further, the GDPR provides a broad right for EEA Member States to create supplemental national laws relating to the processing of health, genetic, and biometric data, potentially limiting our ability to use and share such data or causing our costs to increase, and harming our business and financial condition.</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the supervision of local data protection authorities in jurisdictions where our business activities involve monitoring the behavior of individuals in the EEA or UK (for example, when undertaking clinical trials). The GDPR confers a private right of action on data subjects and consumer associations, introduces mandatory data breach notification requirements, requires us to maintain records of our processing activities and to document data protection impact assessments where there is high risk processing, imposes additional obligations on us when we are contracting with service providers, requires appropriate technical and organizational measures to safeguard personal data, and requires us to adopt appropriate privacy governance including policies, procedures, training, and data audits.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GDPR also imposes strict rules on the transfer of personal data out of the EEA and UK to jurisdictions that have not been deemed to offer “adequate” privacy protections, including the United States in certain circumstances, unless a derogation or adequate international transfer safeguards exist. In certain instances, we may be required to carry out transfer impact assessments to ensure the law in the recipient country provides “essentially equivalent” personal data protections as those provided in the EEA and UK, and may be required to adopt supplementary measures if this standard is not met. Any inability to transfer personal data from the EEA to the United States in compliance with data protection laws may impede our ability to conduct trials and may adversely affect our business and financial position.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steps to comply with the GDPR when applicable to us, but compliance is a rigorous and time-intensive process that may increase our cost of doing business or require us to change our business practices. Noncompliance with the GDPR or other applicable EEA and UK laws and regulations could subject us to significant financial penalties and in the event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noncompliance, or perceived noncompliance, we could be subject to litigation or adverse publicity, which could materially and adversely affect us.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respective provisions and enforcement of the EU GDPR and UK GDPR have already and may in the future diverge and EEA Member States have adopted national laws to implement the GDPR that may partially deviate from the GDPR and the EEA Member States may interpret GDPR obligations slightly differently, which may create additional regulatory challenges and uncertainties for us, could increase legal risk, complexity and cost to our handling of personal data and may require us to adapt our privacy and data security compliance programs.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of the United States and Europe, many jurisdictions in which we have CROs or otherwise do business are also considering or have enacted comprehensive data protection legislation to which we may become subject. The global data protection landscape is rapidly evolving, and we may be or become subject to numerous federal, state and foreign laws and regulations governing the collection, use, disclosure, transfer, security and processing of personal information, such as information that we collect about participants and healthcare providers in connection with clinical trials. Implementation standards and enforcement practices are likely to remain uncertain for the foreseeable future, which may create risk in our business, affect our or our service providers’ ability to operate in certain jurisdictions or to collect, store, transfer, use or share personal information, result in liability or impose additional compliance or other costs on us. Any failure or perceived failure by us to comply with federal, state or foreign laws or self-regulatory standards could result in negative publicity, diversion of management time and effort or proceedings against us.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our CMOs, CROs or other contractors or consultants fail to comply with applicable regulatory requirements, we could be subject to a range of regulatory actions that could affect our or our contractors’ ability to develop and commercialize our product candidates or could harm or prevent sales of any future products, or could substantially increase the costs and expenses of developing, commercializing, and marketing our product candidates or any future products.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and suppliers fail to comply with environmental, health and safety laws and regulations, we could become subject to fines or penalties or incur costs that could have an adverse effect on the success of our business.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CMOs for handling and disposing of these materials generally comply with the standards prescribed by these laws and regulations, we cannot guarantee that this is the case or eliminate the risk of accidental contamination or injury from these materials. Upon an event of this nature, we may be held liable for any resulting damages and such liability could exceed our resources and state or federal or other applicable authorities may curtail our use of certain materials and/or interrupt our business operations. Further, environmental laws and regulations are complex, change frequently, and have tended to become more stringent. We cannot predict the impact of any changes of this nature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United States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the USA PATRIOT Act of 2001 and other state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In the future,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these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throughout our business in our ongoing effort to be innovative and increase efficiency, but the challenges we may face in its implementation and use could adversely impact our business.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continuous effort to be innovative and increase efficiency throughout our business, we employ artificial intelligence (AI) and machine learning as a tool, including to assist in degrader discovery and optimization. While there are advantages to AI and machine learning, there are also inherent risks with its use, including risks related to accuracy, AI hallucinations, cybersecurity, data privacy, information technology, intellectual property, regulatory, legal, operational, competitive, reputational, and other risks and challenges that could adversely affect our business. Moreover, the regulatory landscape surrounding the use of AI, both in the U.S. and abroad, is complex and continuously evolving. In the U.S., a number of states have advanced laws focusing on AI governance and regulation. At the federal level, the Trump Administration has endorsed a federal moratorium on the enforcement of state AI laws, including through a December 11, 2025 executive order on “Ensuring a National Policy Framework for Artificial Intelligence,” though states continue to act on AI regulation. In the European Union, the Artificial Intelligence Act recently passed, with further regulations expected to come. These new laws contribute to a complicated legislative patchwork and could subject us to increased compliance costs, and we may face costly enforcement actions or litigation in the event of any actual or perceived non-compliance. We may not be able to adequately mitigate the various risks we could face as a result of our use of AI, and this could adversely affect our business, financial condition, and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operational matters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medical personnel, sales and marketing, and other personnel. We are highly dependent on our management, scientific and medical personnel, including our President and Chief Executive Officer, Chief Scientific Officer, Chief Medical Officer, Chief Financial Officer, Chief People Officer, and Chief Business Officer. The loss of the services of any of our executive officers, other key employees, and other scientific and medical advisors, and an inability to find suitable replacements could result in delays in product development, and harm our business. While we expect to engage in an orderly transition process if and when we integrate newly appointed officers and managers, we face a variety of risks and uncertainties relating to management transition, including diversion of management attention from business concerns, failure to retain other key personnel, or loss of institutional knowledge.</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 our operations at our facilities in Watertown, Massachusetts.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encourage valuable employees to remain at our company, in addition to salary and cash incentives, we have provided equity awards that vest over time or based on the achievement of milestones. The value to our employees of equity awards that vest over time may be significantly affected by movements in our stock price that are beyond our control and may, at any time, be insufficient to counteract more lucrative offers from other companies. The same may be true in respect of equity awards that vest based on the achievement of milestones. Despite our efforts to retain valuable employees, members of our management, scientific and development teams may terminate their employment with us on short notice. Although we have employment agreements with our executive employees, these employment agreements provide for at-will employment, which means that any of our executive employees could leave our employment at any time, with or without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Our success also depends on our ability to continue to attract, retain and motivate highly skilled junior, mid-level, and senior managers, as well as junior, mid-level, and senior scientific, medical, and general and administrative personnel.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collaborators, vendors, contractors, or consultants, may fail or suffer security breaches, incidents or compromises, which could result in a disruption of our product development programs and could harm our reputation or subject us to liability, and adversely affect our business and financial results.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and those of any collaborators, vendors, contractors or consultants are vulnerable to damage from computer viruses, unauthorized access, natural disasters, terrorism, war, and telecommunication and electrical failures. We and certain of our service providers have experienced and may in the future experience cybersecurity incidents. If an event of this nature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marketing approval efforts and significantly increase our costs to recover or reproduce the data. Bad actors around the world use increasingly sophisticated methods, including the use of AI, to engage in illegal activities involving the theft and misuse of personal information, confidential information, and intellectual property. To the extent that any disruption, security breach, incident or compromise were to result in a loss of or damage to our data or applications or the inappropriate disclosure of confidential or proprietary information, we could incur liability, our competitive position could be harmed, and the further development and commercialization of our product candidates could be delayed. Additionally, we may have data security obligations with respect to the information of third parties that we store. Unauthorized access or use of any third-party data or information of this nature could result in fines or other penalties that may impact our relationships with these third parties and our operations.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actual or perceived security breach, incident or compromise of our platform, systems, and networks could damage our reputation and brand, expose us to a risk of litigation and possible liability, and require us to expend significant capital and other resources to respond to and alleviate problems caused by the security breach. Our ability to maintain adequate cyber-crime and liability insurance may be reduced. Some jurisdictions have enacted laws requiring companies to notify individuals of data security breaches involving certain types of personal data and our agreements with certain partners require us to notify them in the event of a security incident. These types of mandatory disclosures are costly, could lead to negative publicity, and may cause our partners to lose confidence in the effectiveness of our data security measures. Any of these events could harm our reputation or subject us to liability, and materially and adversely affect our business and financial results. Although we maintain cyber liability insurance, we cannot be certain that its coverage will be adequate for liabilities actually incurred or that insurance will continue to be available to us on economically reasonable terms, or at all.</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CMOs, and consultants may engage in fraudulent conduct or other illegal activity. Misconduct by these parties could include, among other things:</w:t>
      </w:r>
    </w:p>
    <w:p>
      <w:pPr>
        <w:spacing w:after="0" w:line="54" w:lineRule="exact"/>
        <w:rPr>
          <w:sz w:val="20"/>
          <w:szCs w:val="20"/>
          <w:color w:val="auto"/>
        </w:rPr>
      </w:pPr>
    </w:p>
    <w:p>
      <w:pPr>
        <w:ind w:left="660" w:right="2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of unauthorized activities that violate study and trial protocols or the regulations of the FDA or similar foreign regulatory authorities;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healthcare fraud and abuse laws and regulations in the United States and abroad;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Other forms of misconduct could involve the improper use of information obtained in the course of clinical trials or creating fraudulent data in our preclinical studies or clinical trials, which could result in regulatory sanctions and cause serious harm to our reputation. We have adopted a code of business conduct and ethics and other corporate governance and compliance documents, policies and charters applicable to all of our employees.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it is not always possible to identify and deter misconduct by employees and other third parties. Further, the precautions we take to detect and prevent this type of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actions of this nature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or curtailment of our operations, any of which could adversely affect our business prospects,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and issuances of common stock upon the exercise of outstanding warrants would result in additional dilution of the percentage ownership of our stockholders and could cause our stock price to fall.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choose to raise additional capital in the future through the sale of shares or other securities convertible into shares, depending on market conditions, strategic considerations, and operational requirements. To the extent we raise additional capital in this manner, our stockholders will be diluted. For example, in October 2024, we filed a registration statement on Form S-3, or the Registration Statement, with the SEC that became effective on November 13, 2024 and registered the offering, issuance and sale of an unspecified amount of common stock, preferred stock, debt securities, warrants and/or units of any combination thereof. Simultaneously, we entered into a sales agreement, or the Sales Agreement, with TD Securities (USA) LLC, or TD Cowen, as sales agent, to provide for the issuance and sale by us of up to $200.0 million of common stock from time to time in “at-the-market” offerings under the Registration Statement and related prospectus filed with the Registration Statement, or the 2024 ATM Program. To date, we have sold 3,769,483 shares of our common stock under the 2024 ATM Program for gross proceeds of approximately $9.6 million, before deducting commissions to TD Cowen. In November 2025, we filed a registration statement on Form S-3 and related prospectus for the offering and sale of up to a maximum aggregate offering price of $125.0 million of our common stock under the 2025 ATM Program.</w:t>
      </w:r>
    </w:p>
    <w:p>
      <w:pPr>
        <w:spacing w:after="0" w:line="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as of the date of this Quarterly Report on Form 10-Q, we had outstanding Class A Warrants exercisable for 50,608,500 shares of our common stock and Class B Warrants exercisable for 50,608,500 shares of our common stock, or collectively, the Class A and B Warrants, and pre-funded warrants to purchase 22,526,500 shares of our common stock. The pre-funded warrants may be exercised at any time after the date of issuance through either a nominal cash payment or a cashless exercise, at the holder’s election, until all of the Pre-Funded Warrants are exercised in full, according to a formula set forth in the pre-funded warrant. Accordingly, we will not receive any meaningful additional funds upon the exercise of the pre-funded warrants. If some or all of these Class A and B Warrants and pre-funded warrants are exercised, our stockholders could experience substantial dilution and such exercise may cause the market price of our stock to decline.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issuances of our common stock or other equity securities, or the perception that sales of this nature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Class A Warrants and Class B Warrants may not be exercised, and we may therefore not receive any additional funds notwithstanding our issuance of these warrants.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Quarterly Report on Form 10-Q, we had outstanding Class A Warrants exercisable for 50,608,500 shares of our common stock and Class B Warrants exercisable for 50,608,500 shares of our common stock. If all of these Class A and Class B Warrants were exercised for cash, we would receive an additional $224.7 million in gross proceeds from the 2025 Offering. However, the warrant holders are not currently obligated to exercise these warrants, which means that we may receive little to no additional proceeds notwithstanding our issuance of these warrants. Both the Class A and Class B Warrants have an exercise price of $2.22 per share of common stock (or $2.2199 per pre-funded warrant) and are exercisable at any time after the date of issuance. The Class A Warrants expire on the earlier of (i) 30 calendar days following the public release of nine-month median follow-up data from any expansion cohort in our planned Phase 1b trial of cemsidomide with elranatamab, or (ii) the fifth anniversary of the date of issuance. The Class B Warrants expire on the fifth anniversary of the date of issuance. The holders of these warrants are unlikely to exercise their warrants voluntarily unless our stock price is above the exercise price and we cannot provide any assurance that our stock price will meaningfully exceed the exercise price before the warrants expire. If our stock price remains at or below the exercise price, the warrants will likely expire unexercised, and we will not receive any additional funds from these warrants to support our clinical trials and operations.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the right to mandatorily require exercise of the Class B Warrants, this right is subject to significant limitations. Specifically, we may only require the exercise of the Class B Warrants on or after the six-month anniversary of the date of issuance, and only if the per share closing price of our common stock on The Nasdaq Global Select Market exceeds $6.66, subject to certain adjustments, or the Mandatory Exercise Price, on each of the ten consecutive trading days prior to our notice of mandatory exercise. The Mandatory Exercise Price is three times higher than the exercise price of the Class B Warrants and substantially above our current trading price. Given current market conditions and our stock performance, the closing price of our common stock may never reach and maintain the Mandatory Exercise Price for the requisite ten-day period. Consequently, we may never be able to compel exercise of the Class B Warrants.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Class A and Class B Warrants may be exercised on a cashless basis if there is no effective registration statement registering the shares underlying such warrants, in which case we would not receive any additional proceeds. Though we intend to maintain an effective registration statement for the underlying shares, we may not be able to do so. If the Class A and Class B Warrants are not exercised for cash, or only a portion of the Class A and Class B Warrants are exercised for cash, we would not receive anticipated warrant exercise proceeds which could materially and adversely affect our financial condition and ability to execute our business strategy.</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Currently, our common stock is listed on the Nasdaq Global Select Market. However, there may not be enough liquidity in that market to enable you to sell your shares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our common stock is listed on the Nasdaq Global Select Market. If an active trading market for our shares is not sustained, you may not be able to sell your shares quickly or at the market price. We cannot predict the extent to which investor interest in us will lead to sustaining an active, liquid trading market.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and will continue to be influenced by the research and reports that industry or securities analysts publish about us, our business or the targeted protein degradation space. We do not have control over these analysts. There can be no assurance that existing analysts will continue to provide research coverage or that new analysts will begin to provide coverage. Although we have obtained analyst coverage, if any of the analysts who cover us were to issue an adverse or misleading opinion regarding us, our business model, our intellectual property or our stock performance, or if our preclinical studies and future clinical trials and results of operations fail to meet the expectations of any of these analysts, our stock price would likely decline. If one or more of these covering analysts were to cease coverage of us or fail to publish reports on us regularly, we could lose visibility in the financial markets, which in turn could cause a decline in our stock price or trading volume.</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purchasers of our common stock.</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price of shares of our common stock has been and may continue to be volatile and subject to wide fluctuations in response to various factors, some of which we cannot control.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price at which you acquired it. The market price for our common stock may be influenced by many factors, including:</w:t>
      </w:r>
    </w:p>
    <w:p>
      <w:pPr>
        <w:spacing w:after="0" w:line="7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 or changes in standard of care regimens;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clinical development activities and the timing of our release of data from our clinical trials;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 and the value of the cash, cash equivalents, and marketable securities we hold;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impacted by interest rates and tariffs;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any of the foregoing factors were viewed as likely to have a negative impact on our business, prospects or operations or if our operating results fall below the expectations of investors or securities analysts, the price of our common stock could decline substantially. In the past, following periods of volatility in the market price of a company’s securities, securities class-action litigation often has been instituted against that company. Litigation of this nature, if instituted against us, could cause us to incur substantial costs to defend these claims and divert management’s attention and resources, which could seriously harm our business, financial condition, results of operations, and prospects. Further, our director and officer liability insurance cost may increase as a result of litigation of this nature and our insurance deductible may be significant before our insurers are required to provide any coverage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capital we have raised and may not use our capital effectively.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our prior financings, including our initial and follow-on public offerings, and could spend the proceeds in ways that do not improve our results of operations or enhance the value of our common stock. The failure by our management to apply these funds effectively could result in financial losses that could have an adverse effect on our business, cause the price of our common stock to decline and delay the development of our product candidates. Pending their use, we may invest the net proceeds from our financing activities in a manner that does not produce income or that loses value.</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will have the ability to control or significantly influence matters submitted to stockholders for approval.</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executive officers and directors, combined with our stockholders who have reported through filings made with the SEC that they own more than 5% of our outstanding common stock, in the aggregate, beneficially own a significant percentage of our shares. As a result, our executive officers and directors, combined with our greater than 5% stockholders, have the ability to control or significantly influence us through this ownership position. These stockholders, if acting together, will consequently continue to control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ownership control may:</w:t>
      </w:r>
    </w:p>
    <w:p>
      <w:pPr>
        <w:spacing w:after="0" w:line="79"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the board of directors; or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4" w:lineRule="exact"/>
        <w:rPr>
          <w:sz w:val="20"/>
          <w:szCs w:val="20"/>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the result of which is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the result of which is that all stockholder actions will have to be taken at a meeting of our stockholders;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additional costs as a result of operating as a public company and our management will be required to devote substantial time to compliance initiatives and corporate governance practices.</w:t>
      </w:r>
    </w:p>
    <w:p>
      <w:pPr>
        <w:spacing w:after="0" w:line="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a public company, we will continue to incur significant legal, accounting, and other expenses that we would not have to incur as a private company. The Sarbanes-Oxley Act of 2002, or Sarbanes-Oxley, the Dodd-Frank Wall Street Reform and Consumer Protection Act, the listing requirements of The Nasdaq Stock Market LLC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and insurance costs and make some activities more time-consuming and costly. For example, these rules and regulations make it more difficult and more expensive for us to obtain director and officer liability insurance, which in turn could make it more difficult for us to attract and retain qualified members of our board of directors.</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evaluate these rules and regulations and cannot always predict or estimate the amount of additional costs we may incur or the timing of these costs. These rules and regulations are also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Section 404 of Sarbanes-Oxley, or Section 404, we are required to furnish a report by our management on our internal control over financial reporting. However, as a "smaller reporting company," we will not be required to include an attestation report on internal control over financial reporting issued by our independent registered public accounting firm until we are no longer a smaller reporting company. As of the end of our fiscal year ended December 31, 2025, we qualified as a “non-accelerated filer” as defined in the Securities Exchange Act of 1934, as amended, or the Exchange Act, and as a "smaller reporting company." Our compliance with Section 404 necessitates that we incur substantial accounting expense and expend significant management efforts.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we will not be able to conclude, within the prescribed timeframe or at all, that our internal control over financial reporting is effective as required by Section 404. Further, we cannot assure you that the measures we have taken in the past or will take in the future will prevent the occurrence of future material weaknesses or significant deficiencies in our internal control over financial reporting. If we identify one or more material weaknesses in the future, it could result in an adverse reaction in the financial markets and restrict our future access to the capital markets due to a loss of confidence in the reliability of our condensed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as amended,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We refer to this provision in our amended and restated by-laws as the Delaware Forum Provision. The Delaware Forum Provision will not apply to any causes of action arising under the Securities Act of 1933, as amended, the Securities Act, or the Exchange Act, as amended.</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by-laws, as amended by Amendment No. 1 thereto effective April 9, 2026, further provide that unless we consent in writing to the selection of an alternative forum, the U.S. District Court for the District of Massachusetts and the U.S. District Court for the District of Delaware shall be the exclusive forums for resolving any complaint asserting a cause of action arising under the Securities Act or Exchange Act, as amended, or the respective rules and regulations promulgated thereunder. We refer to this provision in our amended and restated by-laws as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and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the U.S. District Court for the District of Massachusetts, and the U.S.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to our stockholders.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including due to natural disasters, global conflicts or political unrest, and unstable market conditions and downturns in economic and market conditions may have serious adverse consequences on our business, financial condition and stock price.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and those of any CMOs, CROs and other contractors and consultants that we may engage could be impacted by earthquakes, power shortages, telecommunications failures, water shortages, floods, hurricanes, typhoons, fires, extreme weather conditions, medical epidemics and other natural or man-made disasters or business interruptions, for which we are predominantly self-insured. Our ability to obtain clinical supplies of our product candidates, or if approved, commercial supplies for any future approved products, could be disrupted if the operations of these suppliers are affected by a man-made or natural disaster or other business interruption.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Similarly, the significant volatility associated with recent geopolitical tensions, including with China, and the global conflicts, such as those between Russia and Ukraine and Israel and Hamas, have caused significant instability and disruptions in the capital and credit markets. Sanctions imposed by the United States and other countries in response to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conflicts may also adversely impact the financial markets and the global economy, and any economic countermeasures by the affected countries or others could exacerbate market and economic instability. Global economic conditions continue to be volatile and uncertain in the United States and abroad. Our operations could be adversely affected by economic and political changes in the markets, including higher inflation rates, increasing interest rates, supply chain disruptions, recessions, trade restrictions, and economic embargoes imposed by the United States.</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For example, in 2025, the U.S. imposed blanket tariffs on many imports to the U.S. and significantly higher so-called reciprocal tariffs applicable to imports from many countries. Historically, tariffs have led to increased trade and political tensions, between not only the U.S. and China, but also between the U.S. and other countries.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severe or prolonged economic downturn could result in a variety of risks to our business, including weakened demand for our product candidates, and could also impact our ability to raise additional capital when needed on acceptable terms, if at all. Our general business strategy may be adversely affected by any economic downturn of this nature, volatile business environment or continued unpredictable and unstable market conditions. If the current equity and credit markets deteriorate, or do not improve, it may make any necessary debt or equity financing more difficult, costly and dilutive, or not available at all.</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Failure to secure any necessary financing in a timely manner and on favorable terms could have an adverse effect on our growth strategy, financial performance, and stock price and could require us to delay, modify,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adversely affect our business prospects, financial condition, and results of operations.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market-wide liquidity problems. We periodically assess our banking and other relationships as we believe necessary or appropriate, including to ensure that we have appropriate diversification in these relationships. Nonetheless,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we granted three employees an aggregate amount of 333,840 shares of our common stock, or the Inducement Grants, in transactions exempt from registration under Section 4(a)(2) of the Securities Act, with the Inducement Grants being made on January 26, 2026, February 9, 2026, and March 9, 2026. Each Inducement Grant was granted as an inducement material to each applicable individual accepting employment with us in accordance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Nasdaq Listing Rule 5635(c)(4). We received no cash proceeds and no commissions were paid to any person in connection with the issuance of the Inducement Grants.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on March 31, 2026, none of our directors and officers (as defined in Rule 16a-1(f) under the Exchange Act) adopted, modified or terminated a “Rule 10b5-1 trading arrangement” or “non-Rule 10b5-1 trading arrangement,” as those terms are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42"/>
        </w:trPr>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of</w:t>
            </w: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59"/>
        </w:trPr>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20" w:type="dxa"/>
            <w:vAlign w:val="bottom"/>
            <w:gridSpan w:val="17"/>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Exhibit/Annex  Herewith</w:t>
            </w:r>
          </w:p>
        </w:tc>
      </w:tr>
      <w:tr>
        <w:trPr>
          <w:trHeight w:val="459"/>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gridSpan w:val="18"/>
          </w:tcPr>
          <w:p>
            <w:pPr>
              <w:spacing w:after="0"/>
              <w:rPr>
                <w:rFonts w:ascii="Times New Roman" w:cs="Times New Roman" w:eastAsia="Times New Roman" w:hAnsi="Times New Roman"/>
                <w:sz w:val="18"/>
                <w:szCs w:val="18"/>
                <w:color w:val="0000EF"/>
              </w:rPr>
            </w:pPr>
            <w:hyperlink r:id="rId92">
              <w:r>
                <w:rPr>
                  <w:rFonts w:ascii="Times New Roman" w:cs="Times New Roman" w:eastAsia="Times New Roman" w:hAnsi="Times New Roman"/>
                  <w:sz w:val="18"/>
                  <w:szCs w:val="18"/>
                  <w:color w:val="0000EF"/>
                </w:rPr>
                <w:t>Fifth Amended and Restated Certificate of Incorporation</w:t>
              </w:r>
            </w:hyperlink>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10/06/2020</w:t>
            </w:r>
          </w:p>
        </w:tc>
        <w:tc>
          <w:tcPr>
            <w:tcW w:w="2340" w:type="dxa"/>
            <w:vAlign w:val="bottom"/>
            <w:tcBorders>
              <w:top w:val="single" w:sz="8" w:color="auto"/>
            </w:tcBorders>
          </w:tcPr>
          <w:p>
            <w:pPr>
              <w:jc w:val="center"/>
              <w:ind w:right="910"/>
              <w:spacing w:after="0"/>
              <w:rPr>
                <w:sz w:val="20"/>
                <w:szCs w:val="20"/>
                <w:color w:val="auto"/>
              </w:rPr>
            </w:pPr>
            <w:r>
              <w:rPr>
                <w:rFonts w:ascii="Times New Roman" w:cs="Times New Roman" w:eastAsia="Times New Roman" w:hAnsi="Times New Roman"/>
                <w:sz w:val="18"/>
                <w:szCs w:val="18"/>
                <w:color w:val="auto"/>
                <w:w w:val="97"/>
              </w:rPr>
              <w:t>3.1</w:t>
            </w: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EF"/>
            </w:tcBorders>
            <w:gridSpan w:val="14"/>
          </w:tcPr>
          <w:p>
            <w:pPr>
              <w:spacing w:after="0" w:line="196" w:lineRule="exact"/>
              <w:rPr>
                <w:rFonts w:ascii="Times New Roman" w:cs="Times New Roman" w:eastAsia="Times New Roman" w:hAnsi="Times New Roman"/>
                <w:sz w:val="18"/>
                <w:szCs w:val="18"/>
                <w:color w:val="0000EF"/>
              </w:rPr>
            </w:pPr>
            <w:hyperlink r:id="rId92">
              <w:r>
                <w:rPr>
                  <w:rFonts w:ascii="Times New Roman" w:cs="Times New Roman" w:eastAsia="Times New Roman" w:hAnsi="Times New Roman"/>
                  <w:sz w:val="18"/>
                  <w:szCs w:val="18"/>
                  <w:color w:val="0000EF"/>
                </w:rPr>
                <w:t>of the Registrant</w:t>
              </w:r>
            </w:hyperlink>
          </w:p>
        </w:tc>
        <w:tc>
          <w:tcPr>
            <w:tcW w:w="14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E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Certificate of Amendment to the Fifth Amended and</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DEF14A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04/28/2023</w:t>
            </w:r>
          </w:p>
        </w:tc>
        <w:tc>
          <w:tcPr>
            <w:tcW w:w="23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6"/>
              </w:rPr>
            </w:pPr>
            <w:hyperlink r:id="rId93">
              <w:r>
                <w:rPr>
                  <w:rFonts w:ascii="Times New Roman" w:cs="Times New Roman" w:eastAsia="Times New Roman" w:hAnsi="Times New Roman"/>
                  <w:sz w:val="18"/>
                  <w:szCs w:val="18"/>
                  <w:color w:val="0000FF"/>
                  <w:w w:val="96"/>
                </w:rPr>
                <w:t>Restated Certificate of Incorporation of the Registrant</w:t>
              </w:r>
            </w:hyperlink>
          </w:p>
        </w:tc>
        <w:tc>
          <w:tcPr>
            <w:tcW w:w="10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5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20" w:type="dxa"/>
            <w:vAlign w:val="bottom"/>
            <w:gridSpan w:val="1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Certificate of Amendment to the Fifth Amended and</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06/18/2025</w:t>
            </w:r>
          </w:p>
        </w:tc>
        <w:tc>
          <w:tcPr>
            <w:tcW w:w="23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3.1</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6"/>
              </w:rPr>
            </w:pPr>
            <w:hyperlink r:id="rId94">
              <w:r>
                <w:rPr>
                  <w:rFonts w:ascii="Times New Roman" w:cs="Times New Roman" w:eastAsia="Times New Roman" w:hAnsi="Times New Roman"/>
                  <w:sz w:val="18"/>
                  <w:szCs w:val="18"/>
                  <w:color w:val="0000FF"/>
                  <w:w w:val="96"/>
                </w:rPr>
                <w:t>Restated Certificate of Incorporation of the Registrant</w:t>
              </w:r>
            </w:hyperlink>
          </w:p>
        </w:tc>
        <w:tc>
          <w:tcPr>
            <w:tcW w:w="10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bottom w:val="single" w:sz="8" w:color="0000EF"/>
            </w:tcBorders>
            <w:gridSpan w:val="16"/>
          </w:tcPr>
          <w:p>
            <w:pPr>
              <w:spacing w:after="0"/>
              <w:rPr>
                <w:rFonts w:ascii="Times New Roman" w:cs="Times New Roman" w:eastAsia="Times New Roman" w:hAnsi="Times New Roman"/>
                <w:sz w:val="18"/>
                <w:szCs w:val="18"/>
                <w:color w:val="0000EF"/>
                <w:w w:val="99"/>
              </w:rPr>
            </w:pPr>
            <w:hyperlink r:id="rId95">
              <w:r>
                <w:rPr>
                  <w:rFonts w:ascii="Times New Roman" w:cs="Times New Roman" w:eastAsia="Times New Roman" w:hAnsi="Times New Roman"/>
                  <w:sz w:val="18"/>
                  <w:szCs w:val="18"/>
                  <w:color w:val="0000EF"/>
                  <w:w w:val="99"/>
                </w:rPr>
                <w:t>Second Amended and Restated By-laws of the Registrant</w:t>
              </w:r>
            </w:hyperlink>
          </w:p>
        </w:tc>
        <w:tc>
          <w:tcPr>
            <w:tcW w:w="80" w:type="dxa"/>
            <w:vAlign w:val="bottom"/>
            <w:gridSpan w:val="2"/>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333-248719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09/10/2020</w:t>
            </w:r>
          </w:p>
        </w:tc>
        <w:tc>
          <w:tcPr>
            <w:tcW w:w="23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3.5</w:t>
            </w:r>
          </w:p>
        </w:tc>
      </w:tr>
      <w:tr>
        <w:trPr>
          <w:trHeight w:val="2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 to Second Amended and Restated By-</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04/10/2026</w:t>
            </w:r>
          </w:p>
        </w:tc>
        <w:tc>
          <w:tcPr>
            <w:tcW w:w="234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7"/>
              </w:rPr>
              <w:t>3.1</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laws of C4 Therapeutics, Inc.</w:t>
              </w:r>
            </w:hyperlink>
          </w:p>
        </w:tc>
        <w:tc>
          <w:tcPr>
            <w:tcW w:w="200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30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Form of Performance-Accelerated Restricted Stock Unit</w:t>
              </w:r>
            </w:hyperlink>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001-39567</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02/22/2026</w:t>
            </w:r>
          </w:p>
        </w:tc>
        <w:tc>
          <w:tcPr>
            <w:tcW w:w="2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29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EF"/>
              </w:rPr>
              <w:t>Certification of Principal Executive Officer Pursuant to</w:t>
            </w:r>
          </w:p>
        </w:tc>
        <w:tc>
          <w:tcPr>
            <w:tcW w:w="160" w:type="dxa"/>
            <w:vAlign w:val="bottom"/>
            <w:gridSpan w:val="5"/>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X</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E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EF"/>
              </w:rPr>
              <w:t>Rules 13a-14(a) and 15d-14(a) under the Securities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3"/>
            <w:shd w:val="clear" w:color="auto" w:fill="0000EF"/>
          </w:tcPr>
          <w:p>
            <w:pPr>
              <w:spacing w:after="0" w:line="20" w:lineRule="exact"/>
              <w:rPr>
                <w:sz w:val="1"/>
                <w:szCs w:val="1"/>
                <w:color w:val="auto"/>
              </w:rPr>
            </w:pPr>
          </w:p>
        </w:tc>
        <w:tc>
          <w:tcPr>
            <w:tcW w:w="320" w:type="dxa"/>
            <w:vAlign w:val="bottom"/>
            <w:shd w:val="clear" w:color="auto" w:fill="0000EF"/>
          </w:tcPr>
          <w:p>
            <w:pPr>
              <w:spacing w:after="0" w:line="20" w:lineRule="exact"/>
              <w:rPr>
                <w:sz w:val="1"/>
                <w:szCs w:val="1"/>
                <w:color w:val="auto"/>
              </w:rPr>
            </w:pPr>
          </w:p>
        </w:tc>
        <w:tc>
          <w:tcPr>
            <w:tcW w:w="800" w:type="dxa"/>
            <w:vAlign w:val="bottom"/>
            <w:shd w:val="clear" w:color="auto" w:fill="0000E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F"/>
              </w:rPr>
              <w:t>Exchange Act of 1934, as Adopted Pursuant to Section</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EF"/>
              <w:bottom w:val="single" w:sz="8" w:color="0000E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F"/>
                <w:w w:val="99"/>
              </w:rPr>
              <w:t>302 of the Sarbanes-Oxley Act of 2002.</w:t>
            </w:r>
          </w:p>
        </w:tc>
        <w:tc>
          <w:tcPr>
            <w:tcW w:w="1080" w:type="dxa"/>
            <w:vAlign w:val="bottom"/>
            <w:tcBorders>
              <w:top w:val="single" w:sz="8" w:color="0000E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X</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8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2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X</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8"/>
              </w:rPr>
              <w:t>18 U.S.C. Section 1350, as Adopted Pursuant to Section</w:t>
            </w:r>
          </w:p>
        </w:tc>
        <w:tc>
          <w:tcPr>
            <w:tcW w:w="40" w:type="dxa"/>
            <w:vAlign w:val="bottom"/>
            <w:tcBorders>
              <w:bottom w:val="single" w:sz="8" w:color="0000FF"/>
            </w:tcBorders>
          </w:tcPr>
          <w:p>
            <w:pPr>
              <w:spacing w:after="0"/>
              <w:rPr>
                <w:sz w:val="15"/>
                <w:szCs w:val="15"/>
                <w:color w:val="auto"/>
              </w:rPr>
            </w:pP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1340" w:type="dxa"/>
            <w:vAlign w:val="bottom"/>
            <w:gridSpan w:val="14"/>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9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X</w:t>
            </w:r>
          </w:p>
        </w:tc>
      </w:tr>
      <w:tr>
        <w:trPr>
          <w:trHeight w:val="18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bottom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1660" w:type="dxa"/>
            <w:vAlign w:val="bottom"/>
            <w:gridSpan w:val="15"/>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9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auto"/>
              </w:rPr>
              <w:t>not appear in the Interactive Data File because its XBRL</w:t>
            </w: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24"/>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11"/>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7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1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7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w:t>
            </w: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918"/>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10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4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59"/>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2"/>
                <w:szCs w:val="22"/>
                <w:color w:val="auto"/>
              </w:rPr>
            </w:pPr>
          </w:p>
        </w:tc>
        <w:tc>
          <w:tcPr>
            <w:tcW w:w="356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2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Exhibit/Annex  Herewith</w:t>
            </w:r>
          </w:p>
        </w:tc>
      </w:tr>
    </w:tbl>
    <w:p>
      <w:pPr>
        <w:spacing w:after="0" w:line="49" w:lineRule="exact"/>
        <w:rPr>
          <w:sz w:val="20"/>
          <w:szCs w:val="20"/>
          <w:color w:val="auto"/>
        </w:rPr>
      </w:pPr>
    </w:p>
    <w:p>
      <w:pPr>
        <w:ind w:left="1240" w:right="6020" w:hanging="1214"/>
        <w:spacing w:after="0" w:line="266" w:lineRule="auto"/>
        <w:tabs>
          <w:tab w:leader="none" w:pos="12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a management contract or any compensatory plan, contract, or arrangement.</w:t>
      </w:r>
    </w:p>
    <w:p>
      <w:pPr>
        <w:spacing w:after="0" w:line="117" w:lineRule="exact"/>
        <w:rPr>
          <w:sz w:val="20"/>
          <w:szCs w:val="20"/>
          <w:color w:val="auto"/>
        </w:rPr>
      </w:pPr>
    </w:p>
    <w:p>
      <w:pPr>
        <w:jc w:val="both"/>
        <w:ind w:left="660" w:hanging="652"/>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32.1 and 32.2 are being furnished herewith and shall not be deemed to be “filed” for purposes of Section 18 of the Exchange Act, or otherwise subject to the liability of that section, nor shall such exhibits be deemed to be incorporated by reference in any registration statement or other document filed under the Securities Act, or the Exchange Act, except as otherwise stated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C4 THERAPEUTICS, INC.</w:t>
      </w:r>
    </w:p>
    <w:p>
      <w:pPr>
        <w:spacing w:after="0" w:line="216"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5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214"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tab/>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Kendra R. Adams</w:t>
      </w:r>
    </w:p>
    <w:p>
      <w:pPr>
        <w:spacing w:after="0" w:line="6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 Head of Corporate Affairs, and Treasurer</w:t>
      </w:r>
    </w:p>
    <w:p>
      <w:pPr>
        <w:spacing w:after="0" w:line="1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13"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tab/>
        <w:t>/s/ Mark Mossler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Mark Mossler</w:t>
      </w:r>
    </w:p>
    <w:p>
      <w:pPr>
        <w:spacing w:after="0" w:line="6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Accounting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00"/>
          </w:cols>
          <w:pgMar w:left="320" w:top="121" w:right="37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Hirsch, certify that:</w:t>
      </w:r>
    </w:p>
    <w:p>
      <w:pPr>
        <w:spacing w:after="0" w:line="10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C4 Therapeutics, Inc.;</w:t>
      </w:r>
    </w:p>
    <w:p>
      <w:pPr>
        <w:spacing w:after="0" w:line="18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060" w:val="left"/>
          <w:tab w:leader="none" w:pos="65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022"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Kendra R. Adams, certify that:</w:t>
      </w:r>
    </w:p>
    <w:p>
      <w:pPr>
        <w:spacing w:after="0" w:line="18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C4 Therapeutics,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5860" w:val="left"/>
          <w:tab w:leader="none" w:pos="65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Kendra R. Adams</w:t>
      </w: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ectPr>
          <w:pgSz w:w="11900" w:h="16838" w:orient="portrait"/>
          <w:cols w:equalWidth="0" w:num="1">
            <w:col w:w="11240"/>
          </w:cols>
          <w:pgMar w:left="320" w:top="1022"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C4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20"/>
        <w:spacing w:after="0"/>
        <w:tabs>
          <w:tab w:leader="none" w:pos="6060" w:val="left"/>
          <w:tab w:leader="none" w:pos="65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J. Hirsch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26035</wp:posOffset>
            </wp:positionV>
            <wp:extent cx="29743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Andrew J. Hirsch</w:t>
      </w: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0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C4 Therapeutics,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
        <w:spacing w:after="0"/>
        <w:tabs>
          <w:tab w:leader="none" w:pos="6080" w:val="left"/>
          <w:tab w:leader="none" w:pos="656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tab/>
        <w:t>/s/ Kendra R.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26035</wp:posOffset>
            </wp:positionV>
            <wp:extent cx="29660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Kendra R. Adams</w:t>
      </w:r>
    </w:p>
    <w:p>
      <w:pPr>
        <w:spacing w:after="0" w:line="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
      <w:numFmt w:val="bullet"/>
      <w:start w:val="1"/>
    </w:lvl>
    <w:lvl w:ilvl="1">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lvl w:ilvl="1">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emdash "/>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04"/>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92" Type="http://schemas.openxmlformats.org/officeDocument/2006/relationships/hyperlink" Target="https://www.sec.gov/Archives/edgar/data/1662579/000119312520264807/d17027dex31.htm" TargetMode="External"/><Relationship Id="rId93" Type="http://schemas.openxmlformats.org/officeDocument/2006/relationships/hyperlink" Target="https://www.sec.gov/ix?doc=/Archives/edgar/data/0001662579/000162828023013738/cccc-20230427.htm" TargetMode="External"/><Relationship Id="rId94" Type="http://schemas.openxmlformats.org/officeDocument/2006/relationships/hyperlink" Target="https://www.sec.gov/Archives/edgar/data/1662579/000162828025032155/c4t-certificateofamendme.htm" TargetMode="External"/><Relationship Id="rId95" Type="http://schemas.openxmlformats.org/officeDocument/2006/relationships/hyperlink" Target="https://www.sec.gov/Archives/edgar/data/0001662579/000119312520243234/d772024dex35.htm" TargetMode="External"/><Relationship Id="rId96" Type="http://schemas.openxmlformats.org/officeDocument/2006/relationships/hyperlink" Target="https://www.sec.gov/Archives/edgar/data/1662579/000162828026024583/bylaws-amendmentno1tosec.htm" TargetMode="External"/><Relationship Id="rId97" Type="http://schemas.openxmlformats.org/officeDocument/2006/relationships/hyperlink" Target="https://www.sec.gov/Archives/edgar/data/1662579/000162828026012000/parsuagreementfebruary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2026-05-12T06:12:15Z</dcterms:created>
  <dcterms:modified xsi:type="dcterms:W3CDTF">2026-05-12T06:12:15Z</dcterms:modified>
</cp:coreProperties>
</file>