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2287.xml.htm"/>
      <w:bookmarkStart w:id="1" w:name="kswkform4_17900222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Adams Kendra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C4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490 ARSENAL WAY #120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C4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575"/>
        <w:gridCol w:w="376"/>
        <w:gridCol w:w="857"/>
        <w:gridCol w:w="463"/>
        <w:gridCol w:w="677"/>
        <w:gridCol w:w="1178"/>
        <w:gridCol w:w="100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385,098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3.39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382,323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acquisition of shares of Common Stock upon vesting of a previously disclosed grant of restricted stock units ("RSUs"). The grant of RSUs was initially reported in Table I of the Form 4 filed by the Reporting Person on September 19,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tax withholding obligations in connection with the vesting and settlement of RSUs and does not represent a sale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Shagha Russell,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1929" TargetMode="External"/><Relationship Id="rId5" Type="http://schemas.openxmlformats.org/officeDocument/2006/relationships/hyperlink" Target="http://www.sec.gov/cgi-bin/browse-edgar?action=getcompany&amp;CIK=00016625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3515</Characters>
  <CharactersWithSpaces>4088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