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11,383,696.00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11,383,696.00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11,383,696.00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11,383,696.00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11,383,696.00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11,383,696.00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11,383,696.00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11,383,696.00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11,383,696.00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11,383,696.00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11,383,696.00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11,383,696.00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as of June 30, 2026 and is incorporated by reference. The Fund directly holds (i) 8,000,000 shares of common stock, (ii) pre-funded warrants (the "Pre-Funded Warrants") exercisable for up to 8,195,000 shares of common stock, (iii) Class A warrants (the "Class A Warrants") exercisable for up to 16,195,000 shares of common stock, and (iv) Class B warrants (the "Class B Warrants" and, together with the Pre-Funded Warrants and Class A Warrants, the "Warrants") exercisable for up to 16,195,000 shares of common stock. Each of the Pre-Funded Warrants, the Class A Warrants and the Class B Warrants contains a provision (the "Beneficial Ownership Blockers") which precludes exercise of the Warrants to the extent that, following exercise, the Fund, together with its affiliates and other attribution parties, would own more than 9.99% of the common stock outstanding. The Fund is currently prohibited from exercising the Warrants to the extent that such exercise would result in the Reporting Persons' beneficial ownership of more than 11,383,696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Blockers listed in the Warrants, each Reporting Person's beneficial ownership percentage was 9.99% as of June 30, 2026. Such percentage is based upon the sum of (i) 110,567,222 shares of common stock outstanding as of May 1, 2026, as reported in the Issuer's Quarterly Report on Form 10-Q filed with the Securities and Exchange Commission (the "SEC") on May 12, 2026, and (ii) 3,383,696 shares of common stock issuable upon the exercise of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October 24,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1944</Words>
  <Characters>9976</Characters>
  <CharactersWithSpaces>11853</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