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C4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15,423,691.00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15,423,691.00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15,423,691.00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8,097,000 shares of Common Stock (as defined in Item 2(a)) issuable upon exercise of Class A Common Stock purchase warrants and Class B Common Stock purchase warrants (together, the "Warrants"). Each of these Warrants is subject to a 9.99% blocker (the "9.99% Blocker"), and the percentage set forth on row (11) gives effect to the 9.99% Blocker. However, as more fully described in Item 4, the shares of Common Stock set forth on rows (6), (8) and (9) include the number of shares of Common Stock that would be issuable upon full exercise of the Warrants and does not give effect to the 9.99% Blocker. Therefore, the actual number of shares of Common Stock beneficially owned by such Reporting Person, after giving effect to the 9.99% Blocker, is less than the number of shares of Common Stock reported in rows (6), (8), and (9). The Reporting Person's previous Schedule G filing on February 17, 2026 inadvertently excluded these Warrants from the Reporting Persons' beneficial ownership.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15,423,691.00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15,423,691.00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15,423,691.00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8,097,000 shares of Common Stock issuable upon exercise of the Warrants. Each of these Warrants is subject to the 9.99% Blocker, and the percentage set forth on row (11) gives effect to the 9.99% Blocker. However, as more fully described in Item 4, the shares of Common Stock set forth on rows (6), (8) and (9) include the number of shares of Common Stock that would be issuable upon full exercise of the Warrants and does not give effect to the 9.99% Blocker. Therefore, the actual number of shares of Common Stock beneficially owned by such Reporting Person, after giving effect to the 9.99% Blocker, is less than the number of shares of Common Stock reported in rows (6), (8), and (9). The Reporting Person's previous Schedule G filing on February 17, 2026 inadvertently excluded these Warrants from the Reporting Persons' beneficial ownership.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C4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120,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with respect to the shares of common stock, par value $0.0001 per share ("Common Stock"), of C4 Therapeutics, Inc., a Delaware corporation (the "Company"), directly held by the Lynx1 Fund; and (ii) Mr. Weston Nichols ("Mr. Nichols"), the sole member of Lynx1 Capital Management GP LLC, the general partner of the Investment Manager, with respect to the shares of Common Stock directly held by the Lynx1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110,567,222 shares of Common Stock outstanding as of May 1, 2026, as reported in the Company's Quarterly Report on Form 10-Q for the quarterly period ended March 31, 2026, filed with the Securities and Exchange Commission on May 12, 2026, and assumes the exercise of the Warrants (subject to the 9.99% Blocker) held by the Lynx1 Fund.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Lynx1 Fund has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1690</Words>
  <Characters>8535</Characters>
  <CharactersWithSpaces>10195</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