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2"/>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Hughes Owen</w:t>
              </w:r>
            </w:hyperlink>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C4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CCCC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C4 THERAPEUTICS, INC.</w:t>
            </w:r>
          </w:p>
        </w:tc>
        <w:tc>
          <w:tcPr>
            <w:tcW w:w="120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490 ARSENAL WAY #120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62,000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full upon the earlier to occur of (i) June 24, 2027 and (ii) the next annual meeting of the Issuer's stockholders, subject to the recipient's continued service as a member of the Board on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Shagha Russell, Attorney-in-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5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5933" TargetMode="External"/><Relationship Id="rId14" Type="http://schemas.openxmlformats.org/officeDocument/2006/relationships/hyperlink" Target="http://www.sec.gov/cgi-bin/browse-edgar?action=getcompany&amp;CIK=00016625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2026-06-26T19:34:29Z</dcterms:created>
  <dcterms:modified xsi:type="dcterms:W3CDTF">2026-06-26T19:34:29Z</dcterms:modified>
</cp:coreProperties>
</file>